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2012-2013 FUTBOL SEZONU İLAN EDİLMESİ GEREKEN HUSUSLAR</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2012-2013 futbol sezonunda uygulanmak ve 1. Transfer ve Tescil dönemi başlangıcından itibaren geçerli olmak üzere Türkiye Futbol Federasyonu Yönetim Kurulu tarafından görüşülüp karara bağlanan hususlar aşağıda belirtilmiştir.</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1-  FUTBOL MÜSABAKA MEVSİMİ</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01 Haziran 2012 ile 15 Haziran 2012 tarihleri arasında dinlenme dönemi uygulamasına,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Müsabaka mevsiminin, 01 Temmuz 2012 ile 31 Mayıs 2013 olarak tespitine, zorunlu nedenlerle bu sürelerin değiştirilebilmesine, </w:t>
      </w: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                                         </w:t>
      </w: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sz w:val="24"/>
          <w:szCs w:val="24"/>
        </w:rPr>
        <w:t>UEFA kulüplerarası müsabakalara katılacak kulüplerimizin bu hükmün dışında tutulmasına,</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2-TRANSFER VE TESCİL DÖNEMLERİ</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2012-2013 Futbol Sezonunda 1.Transfer ve Tescil döneminin 14 Haziran 2012 tarihinde başlayıp 05 Eylül 2012 tarihinde ve 2. Transfer ve Tescil Döneminin 05 Ocak 2013 tarihinde başlayıp 01 Şubat 2013 tarihinde sona ermesine,</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3-YETİŞTİRME TAZMİNATI HESAPLAMA KRİTERLERİ</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Yetiştirme tazminatının hesaplanmasına ilişkin olarak kulüplerin dört ayrı kategoriye ayrılmasına ve kategorilere göre sezonluk miktarının aşağıdaki şekilde tespitine,</w:t>
      </w:r>
    </w:p>
    <w:p w:rsidR="00DC0905" w:rsidRDefault="00DC0905" w:rsidP="00DC0905">
      <w:pPr>
        <w:autoSpaceDE w:val="0"/>
        <w:autoSpaceDN w:val="0"/>
        <w:jc w:val="both"/>
        <w:rPr>
          <w:rFonts w:ascii="Times New Roman" w:hAnsi="Times New Roman" w:cs="Times New Roman"/>
          <w:b/>
          <w:bCs/>
          <w:sz w:val="24"/>
          <w:szCs w:val="24"/>
        </w:rPr>
      </w:pPr>
    </w:p>
    <w:tbl>
      <w:tblPr>
        <w:tblW w:w="4942" w:type="pct"/>
        <w:tblInd w:w="108" w:type="dxa"/>
        <w:tblCellMar>
          <w:left w:w="0" w:type="dxa"/>
          <w:right w:w="0" w:type="dxa"/>
        </w:tblCellMar>
        <w:tblLook w:val="04A0"/>
      </w:tblPr>
      <w:tblGrid>
        <w:gridCol w:w="2076"/>
        <w:gridCol w:w="2829"/>
        <w:gridCol w:w="222"/>
        <w:gridCol w:w="3023"/>
        <w:gridCol w:w="1030"/>
      </w:tblGrid>
      <w:tr w:rsidR="00DC0905" w:rsidTr="00DC0905">
        <w:trPr>
          <w:trHeight w:val="646"/>
        </w:trPr>
        <w:tc>
          <w:tcPr>
            <w:tcW w:w="926" w:type="pct"/>
            <w:tcBorders>
              <w:top w:val="single" w:sz="8" w:space="0" w:color="595959"/>
              <w:left w:val="nil"/>
              <w:bottom w:val="single" w:sz="8" w:space="0" w:color="595959"/>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Kategori</w:t>
            </w:r>
          </w:p>
        </w:tc>
        <w:tc>
          <w:tcPr>
            <w:tcW w:w="1592" w:type="pct"/>
            <w:tcBorders>
              <w:top w:val="single" w:sz="8" w:space="0" w:color="595959"/>
              <w:left w:val="nil"/>
              <w:bottom w:val="single" w:sz="8" w:space="0" w:color="595959"/>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Kulüpler</w:t>
            </w:r>
          </w:p>
        </w:tc>
        <w:tc>
          <w:tcPr>
            <w:tcW w:w="129" w:type="pct"/>
            <w:tcBorders>
              <w:top w:val="single" w:sz="8" w:space="0" w:color="595959"/>
              <w:left w:val="nil"/>
              <w:bottom w:val="single" w:sz="8" w:space="0" w:color="595959"/>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tc>
        <w:tc>
          <w:tcPr>
            <w:tcW w:w="2353" w:type="pct"/>
            <w:gridSpan w:val="2"/>
            <w:tcBorders>
              <w:top w:val="single" w:sz="8" w:space="0" w:color="595959"/>
              <w:left w:val="nil"/>
              <w:bottom w:val="single" w:sz="8" w:space="0" w:color="595959"/>
              <w:right w:val="nil"/>
            </w:tcBorders>
            <w:tcMar>
              <w:top w:w="0" w:type="dxa"/>
              <w:left w:w="108" w:type="dxa"/>
              <w:bottom w:w="0" w:type="dxa"/>
              <w:right w:w="108" w:type="dxa"/>
            </w:tcMar>
            <w:vAlign w:val="center"/>
            <w:hideMark/>
          </w:tcPr>
          <w:p w:rsidR="00DC0905" w:rsidRDefault="00DC0905">
            <w:pPr>
              <w:ind w:left="-108"/>
              <w:jc w:val="center"/>
              <w:rPr>
                <w:rFonts w:ascii="Times New Roman" w:hAnsi="Times New Roman" w:cs="Times New Roman"/>
                <w:b/>
                <w:bCs/>
                <w:sz w:val="24"/>
                <w:szCs w:val="24"/>
              </w:rPr>
            </w:pPr>
            <w:r>
              <w:rPr>
                <w:rFonts w:ascii="Times New Roman" w:hAnsi="Times New Roman" w:cs="Times New Roman"/>
                <w:b/>
                <w:bCs/>
                <w:sz w:val="24"/>
                <w:szCs w:val="24"/>
              </w:rPr>
              <w:t>Yetiştirme Tazminatı Miktarları</w:t>
            </w:r>
          </w:p>
          <w:p w:rsidR="00DC0905" w:rsidRDefault="00DC0905">
            <w:pPr>
              <w:rPr>
                <w:rFonts w:ascii="Times New Roman" w:hAnsi="Times New Roman" w:cs="Times New Roman"/>
                <w:b/>
                <w:bCs/>
                <w:sz w:val="24"/>
                <w:szCs w:val="24"/>
              </w:rPr>
            </w:pPr>
            <w:r>
              <w:rPr>
                <w:rFonts w:ascii="Times New Roman" w:hAnsi="Times New Roman" w:cs="Times New Roman"/>
                <w:b/>
                <w:bCs/>
                <w:sz w:val="24"/>
                <w:szCs w:val="24"/>
              </w:rPr>
              <w:t>                        2012-2013</w:t>
            </w:r>
          </w:p>
        </w:tc>
      </w:tr>
      <w:tr w:rsidR="00DC0905" w:rsidTr="00DC0905">
        <w:trPr>
          <w:trHeight w:val="397"/>
        </w:trPr>
        <w:tc>
          <w:tcPr>
            <w:tcW w:w="926"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Birinci Kategori</w:t>
            </w:r>
          </w:p>
        </w:tc>
        <w:tc>
          <w:tcPr>
            <w:tcW w:w="15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Kulüpleri</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74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100.000 TL</w:t>
            </w:r>
          </w:p>
        </w:tc>
        <w:tc>
          <w:tcPr>
            <w:tcW w:w="613" w:type="pct"/>
            <w:tcBorders>
              <w:top w:val="nil"/>
              <w:left w:val="nil"/>
              <w:bottom w:val="single" w:sz="8" w:space="0" w:color="BFBFBF"/>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sz w:val="24"/>
                <w:szCs w:val="24"/>
              </w:rPr>
            </w:pPr>
          </w:p>
        </w:tc>
      </w:tr>
      <w:tr w:rsidR="00DC0905" w:rsidTr="00DC0905">
        <w:trPr>
          <w:trHeight w:val="397"/>
        </w:trPr>
        <w:tc>
          <w:tcPr>
            <w:tcW w:w="926"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İkinci Kategori</w:t>
            </w:r>
          </w:p>
        </w:tc>
        <w:tc>
          <w:tcPr>
            <w:tcW w:w="15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Kulüpleri</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74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50.000 TL</w:t>
            </w:r>
          </w:p>
        </w:tc>
        <w:tc>
          <w:tcPr>
            <w:tcW w:w="613" w:type="pct"/>
            <w:tcBorders>
              <w:top w:val="nil"/>
              <w:left w:val="nil"/>
              <w:bottom w:val="single" w:sz="8" w:space="0" w:color="BFBFBF"/>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sz w:val="24"/>
                <w:szCs w:val="24"/>
              </w:rPr>
            </w:pPr>
          </w:p>
        </w:tc>
      </w:tr>
      <w:tr w:rsidR="00DC0905" w:rsidTr="00DC0905">
        <w:trPr>
          <w:trHeight w:val="397"/>
        </w:trPr>
        <w:tc>
          <w:tcPr>
            <w:tcW w:w="926"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Üçüncü Kategori</w:t>
            </w:r>
          </w:p>
        </w:tc>
        <w:tc>
          <w:tcPr>
            <w:tcW w:w="15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2.Lig Kulüpleri</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74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20.000 TL</w:t>
            </w:r>
          </w:p>
        </w:tc>
        <w:tc>
          <w:tcPr>
            <w:tcW w:w="613" w:type="pct"/>
            <w:tcBorders>
              <w:top w:val="nil"/>
              <w:left w:val="nil"/>
              <w:bottom w:val="single" w:sz="8" w:space="0" w:color="BFBFBF"/>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sz w:val="24"/>
                <w:szCs w:val="24"/>
              </w:rPr>
            </w:pPr>
          </w:p>
        </w:tc>
      </w:tr>
      <w:tr w:rsidR="00DC0905" w:rsidTr="00DC0905">
        <w:trPr>
          <w:trHeight w:val="397"/>
        </w:trPr>
        <w:tc>
          <w:tcPr>
            <w:tcW w:w="926"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Dördüncü Kategori</w:t>
            </w:r>
          </w:p>
        </w:tc>
        <w:tc>
          <w:tcPr>
            <w:tcW w:w="15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Spor Toto 3.Lig Kulüpleri ve Amatör Liglerde Yer Alan Kulüpler</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74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              10.000 TL</w:t>
            </w:r>
          </w:p>
        </w:tc>
        <w:tc>
          <w:tcPr>
            <w:tcW w:w="613" w:type="pct"/>
            <w:tcBorders>
              <w:top w:val="nil"/>
              <w:left w:val="nil"/>
              <w:bottom w:val="single" w:sz="8" w:space="0" w:color="BFBFBF"/>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b/>
                <w:bCs/>
                <w:sz w:val="24"/>
                <w:szCs w:val="24"/>
              </w:rPr>
            </w:pPr>
          </w:p>
        </w:tc>
      </w:tr>
    </w:tbl>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4-SPOR TOTO SÜPER LİG YABANCI UYRUKLU FUTBOLCU UYGULAMASI</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roofErr w:type="gramStart"/>
      <w:r>
        <w:rPr>
          <w:rFonts w:ascii="Times New Roman" w:hAnsi="Times New Roman" w:cs="Times New Roman"/>
          <w:sz w:val="24"/>
          <w:szCs w:val="24"/>
        </w:rPr>
        <w:t>2012-2013 Futbol Sezonunda Spor Toto Süper Liginde bulunan kulüplerin transfer ve tescil dönemleri içerisinde olmak kaydı ile istedikleri sayıda yabancı uyruklu futbolcu ile sözleşme imzalayabilmelerine, ancak sahada müsabakaya devam eden kadroda aynı anda en fazla 6 yabancı uyruklu futbolcu bulundurulması koşulu ile 8 yabancı uyruklu futbolcunun müsabaka isim listesine yazılabilmesine,</w:t>
      </w:r>
      <w:proofErr w:type="gramEnd"/>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2013-2014 Futbol Sezonunda Spor Toto Süper Liginde bulunan kulüplerin transfer ve tescil dönemleri içerisinde olmak kaydı ile en fazla 10 yabancı futbolcu ile sözleşme imzalayabilmelerine ve 6 yabancı uyruklu futbolcunun müsabaka isim listesine yazılabilmesine, </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2014-2015 Futbol Sezonunda Spor Toto Süper Liginde bulunan kulüplerin transfer ve tescil dönemleri içerisinde olmak kaydı ile en fazla 8 yabancı futbolcu ile sözleşme imzalayabilmelerine ve 5 yabancı uyruklu futbolcunun müsabaka isim listesine yazılabilmesine, </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Uluslararası transferlerde FIFA Kurallarının uygulanmasına,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Bakanlar Kurulu Kararı ile Türkiye Cumhuriyeti vatandaşlığına geçen yabancı uyruklu futbolcuların, vatandaşlığa kabul için yapmış oldukları ilk müracaat tarihinden itibaren ancak beş yıl sonra Türk sıfatı ile oynayabilmelerine, sezonun bir yarısının içerisinde beş yıllık süresi dolanların, o yarının başındaki transfer ve tescil döneminin başından itibaren Türk statüsünde sayılmasına,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5901 sayılı Türk Vatandaşlığı Kanunu’nun 42. Maddesinin 1. Fıkrası uyarınca Türk vatandaşlığını kazananların, Türk vatandaşlığını kazanma tarihinden itibaren Türk sıfatı ile oynayabilmelerine,</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5-ALT YAPI FONU UYGULAMASI</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Yabancı uyruklu futbolcu transfer eden veya geçici olarak sözleşme imzalayan kulüplerden aşağıda gösterilen miktarlarda alt yapı fonu alınmasına,</w:t>
      </w:r>
    </w:p>
    <w:p w:rsidR="00DC0905" w:rsidRDefault="00DC0905" w:rsidP="00DC0905">
      <w:pPr>
        <w:autoSpaceDE w:val="0"/>
        <w:autoSpaceDN w:val="0"/>
        <w:jc w:val="both"/>
        <w:rPr>
          <w:rFonts w:ascii="Times New Roman" w:hAnsi="Times New Roman" w:cs="Times New Roman"/>
          <w:sz w:val="24"/>
          <w:szCs w:val="24"/>
        </w:rPr>
      </w:pPr>
    </w:p>
    <w:tbl>
      <w:tblPr>
        <w:tblW w:w="4942" w:type="pct"/>
        <w:tblInd w:w="108" w:type="dxa"/>
        <w:tblCellMar>
          <w:left w:w="0" w:type="dxa"/>
          <w:right w:w="0" w:type="dxa"/>
        </w:tblCellMar>
        <w:tblLook w:val="04A0"/>
      </w:tblPr>
      <w:tblGrid>
        <w:gridCol w:w="3956"/>
        <w:gridCol w:w="222"/>
        <w:gridCol w:w="222"/>
        <w:gridCol w:w="4780"/>
      </w:tblGrid>
      <w:tr w:rsidR="00DC0905" w:rsidTr="00DC0905">
        <w:trPr>
          <w:trHeight w:val="397"/>
        </w:trPr>
        <w:tc>
          <w:tcPr>
            <w:tcW w:w="1719" w:type="pct"/>
            <w:tcBorders>
              <w:top w:val="single" w:sz="8" w:space="0" w:color="595959"/>
              <w:left w:val="nil"/>
              <w:bottom w:val="single" w:sz="8" w:space="0" w:color="595959"/>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Yabancı Oyuncu Sayısı</w:t>
            </w:r>
          </w:p>
        </w:tc>
        <w:tc>
          <w:tcPr>
            <w:tcW w:w="134" w:type="pct"/>
            <w:tcBorders>
              <w:top w:val="single" w:sz="8" w:space="0" w:color="595959"/>
              <w:left w:val="nil"/>
              <w:bottom w:val="single" w:sz="8" w:space="0" w:color="595959"/>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tc>
        <w:tc>
          <w:tcPr>
            <w:tcW w:w="154" w:type="pct"/>
            <w:tcBorders>
              <w:top w:val="single" w:sz="8" w:space="0" w:color="595959"/>
              <w:left w:val="nil"/>
              <w:bottom w:val="single" w:sz="8" w:space="0" w:color="595959"/>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tc>
        <w:tc>
          <w:tcPr>
            <w:tcW w:w="2992" w:type="pct"/>
            <w:tcBorders>
              <w:top w:val="single" w:sz="8" w:space="0" w:color="595959"/>
              <w:left w:val="nil"/>
              <w:bottom w:val="single" w:sz="8" w:space="0" w:color="595959"/>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Altyapı Fonu Bedeli</w:t>
            </w:r>
          </w:p>
          <w:p w:rsidR="00DC0905" w:rsidRDefault="00DC0905" w:rsidP="00DC0905">
            <w:pPr>
              <w:jc w:val="both"/>
              <w:rPr>
                <w:rFonts w:ascii="Times New Roman" w:hAnsi="Times New Roman" w:cs="Times New Roman"/>
                <w:b/>
                <w:bCs/>
                <w:sz w:val="24"/>
                <w:szCs w:val="24"/>
              </w:rPr>
            </w:pPr>
            <w:r>
              <w:rPr>
                <w:rFonts w:ascii="Times New Roman" w:hAnsi="Times New Roman" w:cs="Times New Roman"/>
                <w:b/>
                <w:bCs/>
                <w:sz w:val="24"/>
                <w:szCs w:val="24"/>
              </w:rPr>
              <w:t xml:space="preserve">                        2012-2013                      </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Birinci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Bedelsiz</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İkinci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Bedelsiz</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Üçüncü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Bedelsiz</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Dördüncü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Bedelsiz</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Beşinci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65.000 TL</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Altıncı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80.000 TL</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Yedinci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85.000 TL</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Sekizinci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90.000 TL</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Dokuzuncu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90.000 TL</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Onuncu Yabancı 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90.000 TL</w:t>
            </w:r>
          </w:p>
        </w:tc>
      </w:tr>
      <w:tr w:rsidR="00DC0905" w:rsidTr="00DC0905">
        <w:trPr>
          <w:trHeight w:val="397"/>
        </w:trPr>
        <w:tc>
          <w:tcPr>
            <w:tcW w:w="1719"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sonraki her bir Yabancı </w:t>
            </w:r>
          </w:p>
          <w:p w:rsidR="00DC0905" w:rsidRDefault="00DC0905">
            <w:pPr>
              <w:jc w:val="both"/>
              <w:rPr>
                <w:rFonts w:ascii="Times New Roman" w:hAnsi="Times New Roman" w:cs="Times New Roman"/>
                <w:sz w:val="24"/>
                <w:szCs w:val="24"/>
              </w:rPr>
            </w:pPr>
            <w:r>
              <w:rPr>
                <w:rFonts w:ascii="Times New Roman" w:hAnsi="Times New Roman" w:cs="Times New Roman"/>
                <w:sz w:val="24"/>
                <w:szCs w:val="24"/>
              </w:rPr>
              <w:t>Uyruklu Futbolcu</w:t>
            </w:r>
          </w:p>
        </w:tc>
        <w:tc>
          <w:tcPr>
            <w:tcW w:w="13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4"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99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250.000 TL</w:t>
            </w:r>
          </w:p>
        </w:tc>
      </w:tr>
    </w:tbl>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Yabancı uyruklu kaleci ile sözleşme yenileyen, transfer veya geçici transfer eden kulüplerin, sıralamaya bakılmaksızın 100.000 TL altyapı fon bedelini Federasyon hesabına yatırmalarına,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Kendi kulübü ile sözleşmesi devam eden veya sözleşme yenileyen yabancı uyruklu futbolculardan altyapı fonu alınmamasına,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 BANK ASYA 1. LİG YABANCI UYRUKLU FUTBOLCU </w:t>
      </w:r>
      <w:proofErr w:type="gramStart"/>
      <w:r>
        <w:rPr>
          <w:rFonts w:ascii="Times New Roman" w:hAnsi="Times New Roman" w:cs="Times New Roman"/>
          <w:b/>
          <w:bCs/>
          <w:sz w:val="24"/>
          <w:szCs w:val="24"/>
        </w:rPr>
        <w:t>UYGULAMASI :</w:t>
      </w:r>
      <w:proofErr w:type="gramEnd"/>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Bank Asya 1. Lig takımlarının 3 yabancı uyruklu futbolcu ile sözleşme imzalayabilmelerine ve bir önceki sezon sonunda Spor Toto Süper Liginden düşen takımların yabancı uyruklu futbolcu kontenjanını boşaltmaları halinde bu hakkı kullanabilmelerine,</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Ayrıca bir üst paragrafta belirtilen üç yabancı futbolcuya ilaveten Bank Asya 1. Lig takımlarının Azerbaycan, Kazakistan, Özbekistan, Türkmenistan ve Kırgızistan ülkelerinin vatandaşı olan en fazla 2 futbolcu ile Profesyonel Futbolcuların Statüsü ve Transferi Talimatı hükümlerine uygun sözleşme imzalayabilmelerine,</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Bank Asya 1. Lig müsabakalarında, 18 kişilik müsabaka isim listesine 2 tanesi Azerbaycan, Kazakistan, Özbekistan, Türkmenistan ve Kırgızistan vatandaşı olmak şartıyla en fazla 5 yabancı uyruklu futbolcu yazılmasına ve oynatılmasına,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Bank Asya Birinci Liginde sözleşme imzalayan yabancı uyruklu futbolculardan alt yapı fonu alınmamasına,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Kulübün sezon sonunda Spor Toto Süper Lige yükselmesi halinde, sözleşmesi devam eden yabancı uyruklu futbolcuların, kulübün yabancı uyruklu futbolcu kontenjanında sayılmasına, kulübün Spor Toto 2. Ligine düşmesi halinde, sözleşmesi devam eden yabancı uyruklu futbolcuların müsabakalarda oynatılmamasına,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Spor Toto 2.Lig ve Spor Toto 3.Liginde yabancı uyruklu futbolcu oynatılmamasına,</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 xml:space="preserve">7- YABANCI UYRUKLU AMATÖR </w:t>
      </w:r>
      <w:proofErr w:type="gramStart"/>
      <w:r>
        <w:rPr>
          <w:rFonts w:ascii="Times New Roman" w:hAnsi="Times New Roman" w:cs="Times New Roman"/>
          <w:b/>
          <w:bCs/>
          <w:sz w:val="24"/>
          <w:szCs w:val="24"/>
        </w:rPr>
        <w:t>FUTBOLCULAR :</w:t>
      </w:r>
      <w:proofErr w:type="gramEnd"/>
    </w:p>
    <w:p w:rsidR="00DC0905" w:rsidRDefault="00DC0905" w:rsidP="00DC0905">
      <w:pPr>
        <w:jc w:val="both"/>
        <w:rPr>
          <w:rFonts w:ascii="Times New Roman" w:hAnsi="Times New Roman" w:cs="Times New Roman"/>
          <w:sz w:val="24"/>
          <w:szCs w:val="24"/>
        </w:rPr>
      </w:pPr>
      <w:r>
        <w:rPr>
          <w:rFonts w:ascii="Times New Roman" w:hAnsi="Times New Roman" w:cs="Times New Roman"/>
          <w:sz w:val="24"/>
          <w:szCs w:val="24"/>
        </w:rPr>
        <w:t>Spor Toto Süper Lig, Bank Asya 1.Lig, Spor Toto 2.Lig ve Spor Toto 3.Ligi’nde takımları bulunan kulüplerde statü ve talimatlarda belirtilen istisnalar dışında yabancı uyruklu amatör futbolcu oynatılmamasına,</w:t>
      </w: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 xml:space="preserve">8- SPOR TOTO SÜPER LİG OYUNCULARIN </w:t>
      </w:r>
      <w:proofErr w:type="gramStart"/>
      <w:r>
        <w:rPr>
          <w:rFonts w:ascii="Times New Roman" w:hAnsi="Times New Roman" w:cs="Times New Roman"/>
          <w:b/>
          <w:bCs/>
          <w:sz w:val="24"/>
          <w:szCs w:val="24"/>
        </w:rPr>
        <w:t>UYGUNLUĞU :</w:t>
      </w:r>
      <w:proofErr w:type="gramEnd"/>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2012-2013 Futbol Sezonunda; Spor Toto Süper Ligine dâhil kulüplerin resmi müsabakalarında, müsabakanın oynanacağı tarihte kulübe tescil tarihi üzerinden kesintili veya kesintisiz en az bir yıl süre geçmiş, 01.01.1990 ve daha sonra doğmuş (1) bir Türkiye Cumhuriyeti Vatandaşı profesyonel futbolcuyu 18 kişilik müsabaka isim listesinde bulundurmalarına,</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 xml:space="preserve">9- TFF 3. LİG OYUNCU </w:t>
      </w:r>
      <w:proofErr w:type="gramStart"/>
      <w:r>
        <w:rPr>
          <w:rFonts w:ascii="Times New Roman" w:hAnsi="Times New Roman" w:cs="Times New Roman"/>
          <w:b/>
          <w:bCs/>
          <w:sz w:val="24"/>
          <w:szCs w:val="24"/>
        </w:rPr>
        <w:t>UYGUNLUĞU :</w:t>
      </w:r>
      <w:proofErr w:type="gramEnd"/>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2012-2013 sezonundan itibaren Spor Toto 3.Ligi kulüpleri ancak 01.01.1988 ve daha sonra doğmuş olan futbolcular ile sözleşme imzalayabilirler ve müsabakalarda bu futbolcuları oynatabilirler.</w:t>
      </w: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Spor Toto 3.Ligi kulüpleri ayrıca 31.12.1987 ile 31.12.1982 tarihleri arasında doğmuş en fazla 6 futbolcu ile sözleşme imzalayabilirler. Geçmiş sezonlardan sözleşmesi devam eden 31.12.1987 ile 31.12.1982 tarihleri arasında doğmuş olan futbolcular bu kontenjan dâhilinde kabul edilir.</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Kulüpler, müsabakalarda söz konusu 6 futbolcunun tamamını 18 kişilik müsabaka isim listesine yazabilirler. Ancak kulüpler müsabakalarda bu madde kapsamındaki 6 futbolcudan en fazla 4 tanesini aynı anda oynatabilirler. </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10-PROFESYONEL FUTBOLCU ÖZEL SİGORTALARI</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roofErr w:type="gramStart"/>
      <w:r>
        <w:rPr>
          <w:rFonts w:ascii="Times New Roman" w:hAnsi="Times New Roman" w:cs="Times New Roman"/>
          <w:sz w:val="24"/>
          <w:szCs w:val="24"/>
        </w:rPr>
        <w:t>Spor Toto Süper Lig, Bank Asya 1.Lig, Spor Toto 2.Lig ve Spor Toto 3.Ligine dâhil kulüplerin, profesyonel futbolcularını yurt içinde ve dışında yapacakları maçlarda, antrenmanlarda, maç ile antrenmanlara gidiş ve gelişlerde, taşıt vasıtalarında meydana gelmesi muhtemel kazalar ve sakatlıklar için kısmi veya daimi maluliyet ve ölüm hallerine karşı en az aşağıda gösterilen sigorta teminat miktarları üzerinden Federasyonca belirlenecek özel sigorta şirketine sigorta ettirmelerine,</w:t>
      </w:r>
      <w:proofErr w:type="gramEnd"/>
    </w:p>
    <w:p w:rsidR="00DC0905" w:rsidRDefault="00DC0905" w:rsidP="00DC0905">
      <w:pPr>
        <w:autoSpaceDE w:val="0"/>
        <w:autoSpaceDN w:val="0"/>
        <w:jc w:val="both"/>
        <w:rPr>
          <w:rFonts w:ascii="Times New Roman" w:hAnsi="Times New Roman" w:cs="Times New Roman"/>
          <w:sz w:val="24"/>
          <w:szCs w:val="24"/>
        </w:rPr>
      </w:pPr>
    </w:p>
    <w:tbl>
      <w:tblPr>
        <w:tblW w:w="4942" w:type="pct"/>
        <w:tblInd w:w="108" w:type="dxa"/>
        <w:tblCellMar>
          <w:left w:w="0" w:type="dxa"/>
          <w:right w:w="0" w:type="dxa"/>
        </w:tblCellMar>
        <w:tblLook w:val="04A0"/>
      </w:tblPr>
      <w:tblGrid>
        <w:gridCol w:w="3089"/>
        <w:gridCol w:w="222"/>
        <w:gridCol w:w="5869"/>
      </w:tblGrid>
      <w:tr w:rsidR="00DC0905" w:rsidTr="00DC0905">
        <w:trPr>
          <w:trHeight w:val="397"/>
        </w:trPr>
        <w:tc>
          <w:tcPr>
            <w:tcW w:w="1356" w:type="pct"/>
            <w:tcBorders>
              <w:top w:val="single" w:sz="8" w:space="0" w:color="595959"/>
              <w:left w:val="nil"/>
              <w:bottom w:val="single" w:sz="8" w:space="0" w:color="595959"/>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Sigorta Kapsamı</w:t>
            </w:r>
          </w:p>
        </w:tc>
        <w:tc>
          <w:tcPr>
            <w:tcW w:w="129" w:type="pct"/>
            <w:tcBorders>
              <w:top w:val="single" w:sz="8" w:space="0" w:color="595959"/>
              <w:left w:val="nil"/>
              <w:bottom w:val="single" w:sz="8" w:space="0" w:color="595959"/>
              <w:right w:val="nil"/>
            </w:tcBorders>
            <w:tcMar>
              <w:top w:w="0" w:type="dxa"/>
              <w:left w:w="108" w:type="dxa"/>
              <w:bottom w:w="0" w:type="dxa"/>
              <w:right w:w="108" w:type="dxa"/>
            </w:tcMar>
          </w:tcPr>
          <w:p w:rsidR="00DC0905" w:rsidRDefault="00DC0905">
            <w:pPr>
              <w:rPr>
                <w:rFonts w:ascii="Times New Roman" w:hAnsi="Times New Roman" w:cs="Times New Roman"/>
                <w:b/>
                <w:bCs/>
                <w:sz w:val="24"/>
                <w:szCs w:val="24"/>
              </w:rPr>
            </w:pPr>
          </w:p>
        </w:tc>
        <w:tc>
          <w:tcPr>
            <w:tcW w:w="3515" w:type="pct"/>
            <w:tcBorders>
              <w:top w:val="single" w:sz="8" w:space="0" w:color="595959"/>
              <w:left w:val="nil"/>
              <w:bottom w:val="single" w:sz="8" w:space="0" w:color="595959"/>
              <w:right w:val="nil"/>
            </w:tcBorders>
            <w:tcMar>
              <w:top w:w="0" w:type="dxa"/>
              <w:left w:w="108" w:type="dxa"/>
              <w:bottom w:w="0" w:type="dxa"/>
              <w:right w:w="108" w:type="dxa"/>
            </w:tcMar>
            <w:vAlign w:val="center"/>
          </w:tcPr>
          <w:p w:rsidR="00DC0905" w:rsidRDefault="00DC0905">
            <w:pPr>
              <w:rPr>
                <w:rFonts w:ascii="Times New Roman" w:hAnsi="Times New Roman" w:cs="Times New Roman"/>
                <w:b/>
                <w:bCs/>
                <w:sz w:val="24"/>
                <w:szCs w:val="24"/>
              </w:rPr>
            </w:pPr>
            <w:r>
              <w:rPr>
                <w:rFonts w:ascii="Times New Roman" w:hAnsi="Times New Roman" w:cs="Times New Roman"/>
                <w:b/>
                <w:bCs/>
                <w:sz w:val="24"/>
                <w:szCs w:val="24"/>
              </w:rPr>
              <w:t>                                                Miktar</w:t>
            </w:r>
          </w:p>
          <w:p w:rsidR="00DC0905" w:rsidRDefault="00DC0905">
            <w:pPr>
              <w:jc w:val="both"/>
              <w:rPr>
                <w:rFonts w:ascii="Times New Roman" w:hAnsi="Times New Roman" w:cs="Times New Roman"/>
                <w:b/>
                <w:bCs/>
                <w:sz w:val="24"/>
                <w:szCs w:val="24"/>
              </w:rPr>
            </w:pPr>
          </w:p>
        </w:tc>
      </w:tr>
      <w:tr w:rsidR="00DC0905" w:rsidTr="00DC0905">
        <w:trPr>
          <w:trHeight w:val="397"/>
        </w:trPr>
        <w:tc>
          <w:tcPr>
            <w:tcW w:w="1356"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Ölüm Halinde</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351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100.000 TL</w:t>
            </w:r>
          </w:p>
        </w:tc>
      </w:tr>
      <w:tr w:rsidR="00DC0905" w:rsidTr="00DC0905">
        <w:trPr>
          <w:trHeight w:val="397"/>
        </w:trPr>
        <w:tc>
          <w:tcPr>
            <w:tcW w:w="1356"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Daimi Maluliyet Halinde</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351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100.000 TL</w:t>
            </w:r>
          </w:p>
        </w:tc>
      </w:tr>
      <w:tr w:rsidR="00DC0905" w:rsidTr="00DC0905">
        <w:trPr>
          <w:trHeight w:val="397"/>
        </w:trPr>
        <w:tc>
          <w:tcPr>
            <w:tcW w:w="1356" w:type="pct"/>
            <w:tcBorders>
              <w:top w:val="nil"/>
              <w:left w:val="nil"/>
              <w:bottom w:val="single" w:sz="8" w:space="0" w:color="BFBFBF"/>
              <w:right w:val="nil"/>
            </w:tcBorders>
            <w:noWrap/>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Hastalık ve Tedavi Masrafları</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351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                  10.000 TL</w:t>
            </w:r>
          </w:p>
        </w:tc>
      </w:tr>
    </w:tbl>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11-İŞLEM GİDERİ</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Kulüplerin imzaladıkları sözleşmelerin tescil edilebilmesi ve sözleşmesi devam eden futbolcuların lisansını yeni sezonda vize edebilmesi için “işlem gideri” adı altında tek bir ücret alınmasına, </w:t>
      </w:r>
    </w:p>
    <w:p w:rsidR="00DC0905" w:rsidRDefault="00DC0905" w:rsidP="00DC0905">
      <w:pPr>
        <w:autoSpaceDE w:val="0"/>
        <w:autoSpaceDN w:val="0"/>
        <w:jc w:val="both"/>
        <w:rPr>
          <w:rFonts w:ascii="Times New Roman" w:hAnsi="Times New Roman" w:cs="Times New Roman"/>
          <w:b/>
          <w:bCs/>
          <w:sz w:val="24"/>
          <w:szCs w:val="24"/>
        </w:rPr>
      </w:pPr>
    </w:p>
    <w:tbl>
      <w:tblPr>
        <w:tblW w:w="3340" w:type="pct"/>
        <w:tblCellMar>
          <w:left w:w="0" w:type="dxa"/>
          <w:right w:w="0" w:type="dxa"/>
        </w:tblCellMar>
        <w:tblLook w:val="04A0"/>
      </w:tblPr>
      <w:tblGrid>
        <w:gridCol w:w="2362"/>
        <w:gridCol w:w="297"/>
        <w:gridCol w:w="3294"/>
        <w:gridCol w:w="251"/>
      </w:tblGrid>
      <w:tr w:rsidR="00DC0905" w:rsidTr="00DC0905">
        <w:trPr>
          <w:trHeight w:val="454"/>
        </w:trPr>
        <w:tc>
          <w:tcPr>
            <w:tcW w:w="1904"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Kulüpler</w:t>
            </w:r>
          </w:p>
        </w:tc>
        <w:tc>
          <w:tcPr>
            <w:tcW w:w="239" w:type="pct"/>
            <w:tcBorders>
              <w:top w:val="single" w:sz="8" w:space="0" w:color="auto"/>
              <w:left w:val="nil"/>
              <w:bottom w:val="single" w:sz="8" w:space="0" w:color="auto"/>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tc>
        <w:tc>
          <w:tcPr>
            <w:tcW w:w="2655"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İşlem Gideri</w:t>
            </w:r>
          </w:p>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c>
          <w:tcPr>
            <w:tcW w:w="202" w:type="pct"/>
            <w:tcBorders>
              <w:top w:val="single" w:sz="8" w:space="0" w:color="auto"/>
              <w:left w:val="nil"/>
              <w:bottom w:val="single" w:sz="8" w:space="0" w:color="auto"/>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spacing w:after="200" w:line="276" w:lineRule="auto"/>
              <w:rPr>
                <w:rFonts w:ascii="Times New Roman" w:hAnsi="Times New Roman" w:cs="Times New Roman"/>
                <w:b/>
                <w:bCs/>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Kulüpleri</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120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Kulüpleri</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65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2.Lig Kulüpleri</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55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 xml:space="preserve">Spor Toto 3.Lig Kulüpleri </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15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bl>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Bu ücretlerin yatırıldığı belgelendirilmeyen futbolcuların vize ve tescil işlemlerinin yapılmamasına,</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12-EMEKLİLİK HAKKI KAZANMA ÖDENTİSİ (EHKÖ)</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 xml:space="preserve">Türkiye Futbol Federasyonu Sosyal Yardım ve Dayanışma Vakfına, Türkiye Cumhuriyeti vatandaşı olan profesyonel futbolcuların her birinin, bir defaya mahsus olmak üzere transfer ve vize işlemlerinde; </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
    <w:tbl>
      <w:tblPr>
        <w:tblW w:w="4942" w:type="pct"/>
        <w:tblInd w:w="108" w:type="dxa"/>
        <w:tblCellMar>
          <w:left w:w="0" w:type="dxa"/>
          <w:right w:w="0" w:type="dxa"/>
        </w:tblCellMar>
        <w:tblLook w:val="04A0"/>
      </w:tblPr>
      <w:tblGrid>
        <w:gridCol w:w="2530"/>
        <w:gridCol w:w="237"/>
        <w:gridCol w:w="6413"/>
      </w:tblGrid>
      <w:tr w:rsidR="00DC0905" w:rsidTr="00DC0905">
        <w:trPr>
          <w:trHeight w:val="397"/>
        </w:trPr>
        <w:tc>
          <w:tcPr>
            <w:tcW w:w="1378" w:type="pct"/>
            <w:tcBorders>
              <w:top w:val="single" w:sz="8" w:space="0" w:color="595959"/>
              <w:left w:val="nil"/>
              <w:bottom w:val="single" w:sz="8" w:space="0" w:color="595959"/>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Kulüpler</w:t>
            </w:r>
          </w:p>
        </w:tc>
        <w:tc>
          <w:tcPr>
            <w:tcW w:w="129" w:type="pct"/>
            <w:tcBorders>
              <w:top w:val="single" w:sz="8" w:space="0" w:color="595959"/>
              <w:left w:val="nil"/>
              <w:bottom w:val="single" w:sz="8" w:space="0" w:color="595959"/>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tc>
        <w:tc>
          <w:tcPr>
            <w:tcW w:w="3493" w:type="pct"/>
            <w:tcBorders>
              <w:top w:val="single" w:sz="8" w:space="0" w:color="595959"/>
              <w:left w:val="nil"/>
              <w:bottom w:val="single" w:sz="8" w:space="0" w:color="595959"/>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Emeklilik Hakkı Kazanma Ödentisi</w:t>
            </w:r>
          </w:p>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tc>
      </w:tr>
      <w:tr w:rsidR="00DC0905" w:rsidTr="00DC0905">
        <w:trPr>
          <w:trHeight w:val="397"/>
        </w:trPr>
        <w:tc>
          <w:tcPr>
            <w:tcW w:w="137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Kulüpleri</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349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1500 TL</w:t>
            </w:r>
          </w:p>
        </w:tc>
      </w:tr>
      <w:tr w:rsidR="00DC0905" w:rsidTr="00DC0905">
        <w:trPr>
          <w:trHeight w:val="397"/>
        </w:trPr>
        <w:tc>
          <w:tcPr>
            <w:tcW w:w="137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Kulüpleri</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349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1000 TL</w:t>
            </w:r>
          </w:p>
        </w:tc>
      </w:tr>
      <w:tr w:rsidR="00DC0905" w:rsidTr="00DC0905">
        <w:trPr>
          <w:trHeight w:val="397"/>
        </w:trPr>
        <w:tc>
          <w:tcPr>
            <w:tcW w:w="137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lastRenderedPageBreak/>
              <w:t>Spor Toto 2.Lig Kulüpleri</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349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600 TL</w:t>
            </w:r>
          </w:p>
        </w:tc>
      </w:tr>
      <w:tr w:rsidR="00DC0905" w:rsidTr="00DC0905">
        <w:trPr>
          <w:trHeight w:val="397"/>
        </w:trPr>
        <w:tc>
          <w:tcPr>
            <w:tcW w:w="137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 xml:space="preserve">Spor Toto 3.Lig Kulüpleri </w:t>
            </w:r>
          </w:p>
        </w:tc>
        <w:tc>
          <w:tcPr>
            <w:tcW w:w="12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349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300 TL</w:t>
            </w:r>
          </w:p>
        </w:tc>
      </w:tr>
    </w:tbl>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Emeklilik Hakkı Kazanma Ödentisi adı altında Türkiye Futbol Federasyonu Sosyal Yardım ve Dayanışma Vakfı banka hesaplarına futbolcular adına kulüpler tarafından yatırılmasına, kulüplerin ödedikleri Emeklilik Hakkı Kazanma Ödentisi’ni futbolcuların ilk transfer ödemelerine ilişkin hak edişinden mahsup edebilmelerine</w:t>
      </w:r>
      <w:r>
        <w:rPr>
          <w:rFonts w:ascii="Times New Roman" w:hAnsi="Times New Roman" w:cs="Times New Roman"/>
          <w:b/>
          <w:bCs/>
          <w:sz w:val="24"/>
          <w:szCs w:val="24"/>
        </w:rPr>
        <w:t>,</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sz w:val="24"/>
          <w:szCs w:val="24"/>
        </w:rPr>
        <w:t>Bu paraların yatırıldığı belgelendirilemeyen futbolcuların vize ve tescil işlemlerinin yapılmamasına,</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13-REFERANS BEDELLERİ</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Türkiye Cumhuriyeti vatandaşı olan profesyonel futbolcuların her birinin bir defaya mahsus olmak üzere transfer ve vize işlemlerinde referans bedeli olarak aşağıdaki ücretlerin alınmasına;</w:t>
      </w:r>
    </w:p>
    <w:p w:rsidR="00DC0905" w:rsidRDefault="00DC0905" w:rsidP="00DC0905">
      <w:pPr>
        <w:autoSpaceDE w:val="0"/>
        <w:autoSpaceDN w:val="0"/>
        <w:jc w:val="both"/>
        <w:rPr>
          <w:rFonts w:ascii="Times New Roman" w:hAnsi="Times New Roman" w:cs="Times New Roman"/>
          <w:b/>
          <w:bCs/>
          <w:sz w:val="24"/>
          <w:szCs w:val="24"/>
        </w:rPr>
      </w:pPr>
    </w:p>
    <w:tbl>
      <w:tblPr>
        <w:tblW w:w="3340" w:type="pct"/>
        <w:tblCellMar>
          <w:left w:w="0" w:type="dxa"/>
          <w:right w:w="0" w:type="dxa"/>
        </w:tblCellMar>
        <w:tblLook w:val="04A0"/>
      </w:tblPr>
      <w:tblGrid>
        <w:gridCol w:w="2362"/>
        <w:gridCol w:w="297"/>
        <w:gridCol w:w="3294"/>
        <w:gridCol w:w="251"/>
      </w:tblGrid>
      <w:tr w:rsidR="00DC0905" w:rsidTr="00DC0905">
        <w:trPr>
          <w:trHeight w:val="454"/>
        </w:trPr>
        <w:tc>
          <w:tcPr>
            <w:tcW w:w="1904"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Kulüpler</w:t>
            </w:r>
          </w:p>
        </w:tc>
        <w:tc>
          <w:tcPr>
            <w:tcW w:w="239" w:type="pct"/>
            <w:tcBorders>
              <w:top w:val="single" w:sz="8" w:space="0" w:color="auto"/>
              <w:left w:val="nil"/>
              <w:bottom w:val="single" w:sz="8" w:space="0" w:color="auto"/>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tc>
        <w:tc>
          <w:tcPr>
            <w:tcW w:w="2655" w:type="pct"/>
            <w:tcBorders>
              <w:top w:val="single" w:sz="8" w:space="0" w:color="auto"/>
              <w:left w:val="nil"/>
              <w:bottom w:val="single" w:sz="8" w:space="0" w:color="auto"/>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DC0905" w:rsidRDefault="00DC0905">
            <w:pPr>
              <w:jc w:val="center"/>
              <w:rPr>
                <w:rFonts w:ascii="Times New Roman" w:hAnsi="Times New Roman" w:cs="Times New Roman"/>
                <w:b/>
                <w:bCs/>
                <w:sz w:val="24"/>
                <w:szCs w:val="24"/>
              </w:rPr>
            </w:pPr>
            <w:r>
              <w:rPr>
                <w:rFonts w:ascii="Times New Roman" w:hAnsi="Times New Roman" w:cs="Times New Roman"/>
                <w:b/>
                <w:bCs/>
                <w:sz w:val="24"/>
                <w:szCs w:val="24"/>
              </w:rPr>
              <w:t>Referans Bedeli</w:t>
            </w:r>
          </w:p>
          <w:p w:rsidR="00DC0905" w:rsidRDefault="00DC0905">
            <w:pPr>
              <w:jc w:val="both"/>
              <w:rPr>
                <w:rFonts w:ascii="Times New Roman" w:hAnsi="Times New Roman" w:cs="Times New Roman"/>
                <w:b/>
                <w:bCs/>
                <w:sz w:val="24"/>
                <w:szCs w:val="24"/>
              </w:rPr>
            </w:pPr>
          </w:p>
        </w:tc>
        <w:tc>
          <w:tcPr>
            <w:tcW w:w="202" w:type="pct"/>
            <w:tcBorders>
              <w:top w:val="single" w:sz="8" w:space="0" w:color="auto"/>
              <w:left w:val="nil"/>
              <w:bottom w:val="single" w:sz="8" w:space="0" w:color="auto"/>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spacing w:after="200" w:line="276" w:lineRule="auto"/>
              <w:rPr>
                <w:rFonts w:ascii="Times New Roman" w:hAnsi="Times New Roman" w:cs="Times New Roman"/>
                <w:b/>
                <w:bCs/>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Kulüpleri</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35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Kulüpleri</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20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2.Lig Kulüpleri</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15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r w:rsidR="00DC0905" w:rsidTr="00DC0905">
        <w:trPr>
          <w:trHeight w:val="454"/>
        </w:trPr>
        <w:tc>
          <w:tcPr>
            <w:tcW w:w="1904"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 xml:space="preserve">Spor Toto 3.Lig Kulüpleri </w:t>
            </w:r>
          </w:p>
        </w:tc>
        <w:tc>
          <w:tcPr>
            <w:tcW w:w="23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265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10 TL</w:t>
            </w:r>
          </w:p>
        </w:tc>
        <w:tc>
          <w:tcPr>
            <w:tcW w:w="202"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r>
    </w:tbl>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14- KULÜP TESCİL VE AİDAT ÜCRETLERİ</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Bir üst lige terfi eden kulüplerden alınacak tescil ücretleri ile kulüplerin her yıl ödemekle yükümlü olduğu aidatların</w:t>
      </w:r>
    </w:p>
    <w:p w:rsidR="00DC0905" w:rsidRDefault="00DC0905" w:rsidP="00DC0905">
      <w:pPr>
        <w:autoSpaceDE w:val="0"/>
        <w:autoSpaceDN w:val="0"/>
        <w:jc w:val="both"/>
        <w:rPr>
          <w:rFonts w:ascii="Times New Roman" w:hAnsi="Times New Roman" w:cs="Times New Roman"/>
          <w:b/>
          <w:bCs/>
          <w:sz w:val="24"/>
          <w:szCs w:val="24"/>
        </w:rPr>
      </w:pPr>
    </w:p>
    <w:tbl>
      <w:tblPr>
        <w:tblW w:w="5000" w:type="pct"/>
        <w:tblCellMar>
          <w:left w:w="0" w:type="dxa"/>
          <w:right w:w="0" w:type="dxa"/>
        </w:tblCellMar>
        <w:tblLook w:val="04A0"/>
      </w:tblPr>
      <w:tblGrid>
        <w:gridCol w:w="2791"/>
        <w:gridCol w:w="295"/>
        <w:gridCol w:w="2955"/>
        <w:gridCol w:w="236"/>
        <w:gridCol w:w="3011"/>
      </w:tblGrid>
      <w:tr w:rsidR="00DC0905" w:rsidTr="00DC0905">
        <w:trPr>
          <w:trHeight w:val="454"/>
        </w:trPr>
        <w:tc>
          <w:tcPr>
            <w:tcW w:w="1502"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Kulüpler</w:t>
            </w:r>
          </w:p>
        </w:tc>
        <w:tc>
          <w:tcPr>
            <w:tcW w:w="159" w:type="pct"/>
            <w:tcBorders>
              <w:top w:val="single" w:sz="8" w:space="0" w:color="auto"/>
              <w:left w:val="nil"/>
              <w:bottom w:val="single" w:sz="8" w:space="0" w:color="auto"/>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tc>
        <w:tc>
          <w:tcPr>
            <w:tcW w:w="1591" w:type="pct"/>
            <w:tcBorders>
              <w:top w:val="single" w:sz="8" w:space="0" w:color="auto"/>
              <w:left w:val="nil"/>
              <w:bottom w:val="single" w:sz="8" w:space="0" w:color="auto"/>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xml:space="preserve">             Tescil Ücreti   </w:t>
            </w:r>
          </w:p>
          <w:p w:rsidR="00DC0905" w:rsidRDefault="00DC0905">
            <w:pPr>
              <w:jc w:val="both"/>
              <w:rPr>
                <w:rFonts w:ascii="Times New Roman" w:hAnsi="Times New Roman" w:cs="Times New Roman"/>
                <w:b/>
                <w:bCs/>
                <w:sz w:val="24"/>
                <w:szCs w:val="24"/>
              </w:rPr>
            </w:pPr>
          </w:p>
        </w:tc>
        <w:tc>
          <w:tcPr>
            <w:tcW w:w="127" w:type="pct"/>
            <w:tcBorders>
              <w:top w:val="single" w:sz="8" w:space="0" w:color="auto"/>
              <w:left w:val="nil"/>
              <w:bottom w:val="single" w:sz="8" w:space="0" w:color="auto"/>
              <w:right w:val="nil"/>
            </w:tcBorders>
            <w:tcMar>
              <w:top w:w="0" w:type="dxa"/>
              <w:left w:w="108" w:type="dxa"/>
              <w:bottom w:w="0" w:type="dxa"/>
              <w:right w:w="108" w:type="dxa"/>
            </w:tcMar>
          </w:tcPr>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p w:rsidR="00DC0905" w:rsidRDefault="00DC0905">
            <w:pPr>
              <w:jc w:val="both"/>
              <w:rPr>
                <w:rFonts w:ascii="Times New Roman" w:hAnsi="Times New Roman" w:cs="Times New Roman"/>
                <w:b/>
                <w:bCs/>
                <w:sz w:val="24"/>
                <w:szCs w:val="24"/>
              </w:rPr>
            </w:pPr>
          </w:p>
        </w:tc>
        <w:tc>
          <w:tcPr>
            <w:tcW w:w="1621" w:type="pct"/>
            <w:tcBorders>
              <w:top w:val="single" w:sz="8" w:space="0" w:color="auto"/>
              <w:left w:val="nil"/>
              <w:bottom w:val="single" w:sz="8" w:space="0" w:color="auto"/>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                Aidat</w:t>
            </w:r>
          </w:p>
          <w:p w:rsidR="00DC0905" w:rsidRDefault="00DC0905">
            <w:pPr>
              <w:jc w:val="both"/>
              <w:rPr>
                <w:rFonts w:ascii="Times New Roman" w:hAnsi="Times New Roman" w:cs="Times New Roman"/>
                <w:b/>
                <w:bCs/>
                <w:sz w:val="24"/>
                <w:szCs w:val="24"/>
              </w:rPr>
            </w:pPr>
          </w:p>
        </w:tc>
      </w:tr>
      <w:tr w:rsidR="00DC0905" w:rsidTr="00DC0905">
        <w:trPr>
          <w:trHeight w:val="454"/>
        </w:trPr>
        <w:tc>
          <w:tcPr>
            <w:tcW w:w="150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Kulüpleri</w:t>
            </w:r>
          </w:p>
        </w:tc>
        <w:tc>
          <w:tcPr>
            <w:tcW w:w="15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9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550 TL</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62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275 TL</w:t>
            </w:r>
          </w:p>
        </w:tc>
      </w:tr>
      <w:tr w:rsidR="00DC0905" w:rsidTr="00DC0905">
        <w:trPr>
          <w:trHeight w:val="454"/>
        </w:trPr>
        <w:tc>
          <w:tcPr>
            <w:tcW w:w="150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Kulüpleri</w:t>
            </w:r>
          </w:p>
        </w:tc>
        <w:tc>
          <w:tcPr>
            <w:tcW w:w="15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9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275 TL</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62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110 TL</w:t>
            </w:r>
          </w:p>
        </w:tc>
      </w:tr>
      <w:tr w:rsidR="00DC0905" w:rsidTr="00DC0905">
        <w:trPr>
          <w:trHeight w:val="454"/>
        </w:trPr>
        <w:tc>
          <w:tcPr>
            <w:tcW w:w="150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2.Lig Kulüpleri</w:t>
            </w:r>
          </w:p>
        </w:tc>
        <w:tc>
          <w:tcPr>
            <w:tcW w:w="15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9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110 TL</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62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55 TL</w:t>
            </w:r>
          </w:p>
        </w:tc>
      </w:tr>
      <w:tr w:rsidR="00DC0905" w:rsidTr="00DC0905">
        <w:trPr>
          <w:trHeight w:val="454"/>
        </w:trPr>
        <w:tc>
          <w:tcPr>
            <w:tcW w:w="1502"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 xml:space="preserve">Spor Toto 3.Lig Kulüpleri </w:t>
            </w:r>
          </w:p>
        </w:tc>
        <w:tc>
          <w:tcPr>
            <w:tcW w:w="159"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59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55 TL</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jc w:val="both"/>
              <w:rPr>
                <w:rFonts w:ascii="Times New Roman" w:hAnsi="Times New Roman" w:cs="Times New Roman"/>
                <w:sz w:val="24"/>
                <w:szCs w:val="24"/>
              </w:rPr>
            </w:pPr>
          </w:p>
        </w:tc>
        <w:tc>
          <w:tcPr>
            <w:tcW w:w="1621"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30 TL</w:t>
            </w:r>
          </w:p>
        </w:tc>
      </w:tr>
    </w:tbl>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roofErr w:type="gramStart"/>
      <w:r>
        <w:rPr>
          <w:rFonts w:ascii="Times New Roman" w:hAnsi="Times New Roman" w:cs="Times New Roman"/>
          <w:sz w:val="24"/>
          <w:szCs w:val="24"/>
        </w:rPr>
        <w:t>olarak</w:t>
      </w:r>
      <w:proofErr w:type="gramEnd"/>
      <w:r>
        <w:rPr>
          <w:rFonts w:ascii="Times New Roman" w:hAnsi="Times New Roman" w:cs="Times New Roman"/>
          <w:sz w:val="24"/>
          <w:szCs w:val="24"/>
        </w:rPr>
        <w:t xml:space="preserve"> tespitine,</w:t>
      </w: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r>
        <w:rPr>
          <w:rFonts w:ascii="Times New Roman" w:hAnsi="Times New Roman" w:cs="Times New Roman"/>
          <w:sz w:val="24"/>
          <w:szCs w:val="24"/>
        </w:rPr>
        <w:t>Yukarıda belirtilen ücretleri Federasyonun ilgili hesabına yatırmayan kulüplerin tescil ve vize işlemlerinin yapılmamasına,</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jc w:val="both"/>
        <w:rPr>
          <w:rFonts w:ascii="Times New Roman" w:hAnsi="Times New Roman" w:cs="Times New Roman"/>
          <w:b/>
          <w:bCs/>
          <w:sz w:val="24"/>
          <w:szCs w:val="24"/>
        </w:rPr>
      </w:pPr>
      <w:r>
        <w:rPr>
          <w:rFonts w:ascii="Times New Roman" w:hAnsi="Times New Roman" w:cs="Times New Roman"/>
          <w:b/>
          <w:bCs/>
          <w:sz w:val="24"/>
          <w:szCs w:val="24"/>
        </w:rPr>
        <w:t>15-TEKNİK ADAMLARIN VİZE CÜZDANI, VİZE VE REFERANS BEDELLERİ</w:t>
      </w:r>
    </w:p>
    <w:tbl>
      <w:tblPr>
        <w:tblW w:w="5000" w:type="pct"/>
        <w:tblCellMar>
          <w:left w:w="0" w:type="dxa"/>
          <w:right w:w="0" w:type="dxa"/>
        </w:tblCellMar>
        <w:tblLook w:val="04A0"/>
      </w:tblPr>
      <w:tblGrid>
        <w:gridCol w:w="2368"/>
        <w:gridCol w:w="2898"/>
        <w:gridCol w:w="236"/>
        <w:gridCol w:w="3786"/>
      </w:tblGrid>
      <w:tr w:rsidR="00DC0905" w:rsidTr="00DC0905">
        <w:trPr>
          <w:trHeight w:val="340"/>
        </w:trPr>
        <w:tc>
          <w:tcPr>
            <w:tcW w:w="1275"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Lisanslar</w:t>
            </w:r>
          </w:p>
        </w:tc>
        <w:tc>
          <w:tcPr>
            <w:tcW w:w="1560"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Vize Cüzdanı ve Vize Uygulamaları</w:t>
            </w:r>
          </w:p>
        </w:tc>
        <w:tc>
          <w:tcPr>
            <w:tcW w:w="127" w:type="pct"/>
            <w:tcBorders>
              <w:top w:val="single" w:sz="8" w:space="0" w:color="auto"/>
              <w:left w:val="nil"/>
              <w:bottom w:val="single" w:sz="8" w:space="0" w:color="auto"/>
              <w:right w:val="nil"/>
            </w:tcBorders>
            <w:tcMar>
              <w:top w:w="0" w:type="dxa"/>
              <w:left w:w="108" w:type="dxa"/>
              <w:bottom w:w="0" w:type="dxa"/>
              <w:right w:w="108" w:type="dxa"/>
            </w:tcMar>
          </w:tcPr>
          <w:p w:rsidR="00DC0905" w:rsidRDefault="00DC0905">
            <w:pPr>
              <w:rPr>
                <w:rFonts w:ascii="Times New Roman" w:hAnsi="Times New Roman" w:cs="Times New Roman"/>
                <w:b/>
                <w:bCs/>
                <w:sz w:val="24"/>
                <w:szCs w:val="24"/>
              </w:rPr>
            </w:pPr>
          </w:p>
          <w:p w:rsidR="00DC0905" w:rsidRDefault="00DC0905">
            <w:pPr>
              <w:rPr>
                <w:rFonts w:ascii="Times New Roman" w:hAnsi="Times New Roman" w:cs="Times New Roman"/>
                <w:b/>
                <w:bCs/>
                <w:sz w:val="24"/>
                <w:szCs w:val="24"/>
              </w:rPr>
            </w:pPr>
          </w:p>
        </w:tc>
        <w:tc>
          <w:tcPr>
            <w:tcW w:w="2038" w:type="pct"/>
            <w:tcBorders>
              <w:top w:val="single" w:sz="8" w:space="0" w:color="auto"/>
              <w:left w:val="nil"/>
              <w:bottom w:val="single" w:sz="8" w:space="0" w:color="auto"/>
              <w:right w:val="nil"/>
            </w:tcBorders>
            <w:tcMar>
              <w:top w:w="0" w:type="dxa"/>
              <w:left w:w="108" w:type="dxa"/>
              <w:bottom w:w="0" w:type="dxa"/>
              <w:right w:w="108" w:type="dxa"/>
            </w:tcMar>
            <w:vAlign w:val="center"/>
          </w:tcPr>
          <w:p w:rsidR="00DC0905" w:rsidRDefault="00DC0905">
            <w:pPr>
              <w:rPr>
                <w:rFonts w:ascii="Times New Roman" w:hAnsi="Times New Roman" w:cs="Times New Roman"/>
                <w:b/>
                <w:bCs/>
                <w:sz w:val="24"/>
                <w:szCs w:val="24"/>
              </w:rPr>
            </w:pPr>
            <w:r>
              <w:rPr>
                <w:rFonts w:ascii="Times New Roman" w:hAnsi="Times New Roman" w:cs="Times New Roman"/>
                <w:b/>
                <w:bCs/>
                <w:sz w:val="24"/>
                <w:szCs w:val="24"/>
              </w:rPr>
              <w:t>                         Ücret</w:t>
            </w:r>
          </w:p>
          <w:p w:rsidR="00DC0905" w:rsidRDefault="00DC0905">
            <w:pPr>
              <w:rPr>
                <w:rFonts w:ascii="Times New Roman" w:hAnsi="Times New Roman" w:cs="Times New Roman"/>
                <w:b/>
                <w:bCs/>
                <w:sz w:val="24"/>
                <w:szCs w:val="24"/>
              </w:rPr>
            </w:pP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Teknik Direktör </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 xml:space="preserve">UEFA </w:t>
            </w:r>
            <w:proofErr w:type="spellStart"/>
            <w:r>
              <w:rPr>
                <w:rFonts w:ascii="Times New Roman" w:hAnsi="Times New Roman" w:cs="Times New Roman"/>
                <w:sz w:val="24"/>
                <w:szCs w:val="24"/>
              </w:rPr>
              <w:t>Pro</w:t>
            </w:r>
            <w:proofErr w:type="spellEnd"/>
            <w:r>
              <w:rPr>
                <w:rFonts w:ascii="Times New Roman" w:hAnsi="Times New Roman" w:cs="Times New Roman"/>
                <w:sz w:val="24"/>
                <w:szCs w:val="24"/>
              </w:rPr>
              <w:t xml:space="preserve"> Lisans Vize Cüzdanı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130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A Lisans</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UEFA A Lisans Vize Cüzdanı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100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B Lisans</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UEFA B Lisans Vize Cüzdanı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65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Amatör Çalıştırıcı</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C Lisans Vize Cüzdanı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45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Teknik Direktör</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 xml:space="preserve">UEFA </w:t>
            </w:r>
            <w:proofErr w:type="spellStart"/>
            <w:r>
              <w:rPr>
                <w:rFonts w:ascii="Times New Roman" w:hAnsi="Times New Roman" w:cs="Times New Roman"/>
                <w:sz w:val="24"/>
                <w:szCs w:val="24"/>
              </w:rPr>
              <w:t>Pro</w:t>
            </w:r>
            <w:proofErr w:type="spellEnd"/>
            <w:r>
              <w:rPr>
                <w:rFonts w:ascii="Times New Roman" w:hAnsi="Times New Roman" w:cs="Times New Roman"/>
                <w:sz w:val="24"/>
                <w:szCs w:val="24"/>
              </w:rPr>
              <w:t xml:space="preserve"> Lisans Vize Uygulaması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130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A Lisans               </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UEFA A Lisans Vize Uygulaması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100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B Lisans               </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UEFA B Lisans Vize Uygulaması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65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Amatör Çalıştırıcı   </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TFF C Lisans Vize Uygulaması</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45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Masör Vize Cüzdanları</w:t>
            </w:r>
          </w:p>
        </w:tc>
        <w:tc>
          <w:tcPr>
            <w:tcW w:w="1560" w:type="pct"/>
            <w:tcBorders>
              <w:top w:val="nil"/>
              <w:left w:val="nil"/>
              <w:bottom w:val="single" w:sz="8" w:space="0" w:color="BFBFBF"/>
              <w:right w:val="nil"/>
            </w:tcBorders>
            <w:tcMar>
              <w:top w:w="0" w:type="dxa"/>
              <w:left w:w="108" w:type="dxa"/>
              <w:bottom w:w="0" w:type="dxa"/>
              <w:right w:w="108" w:type="dxa"/>
            </w:tcMar>
            <w:vAlign w:val="center"/>
          </w:tcPr>
          <w:p w:rsidR="00DC0905" w:rsidRDefault="00DC0905">
            <w:pPr>
              <w:jc w:val="both"/>
              <w:rPr>
                <w:rFonts w:ascii="Times New Roman" w:hAnsi="Times New Roman" w:cs="Times New Roman"/>
                <w:sz w:val="24"/>
                <w:szCs w:val="24"/>
              </w:rPr>
            </w:pP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rPr>
                <w:rFonts w:ascii="Times New Roman" w:hAnsi="Times New Roman" w:cs="Times New Roman"/>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45 TL</w:t>
            </w:r>
          </w:p>
        </w:tc>
      </w:tr>
      <w:tr w:rsidR="00DC0905" w:rsidTr="00DC0905">
        <w:trPr>
          <w:trHeight w:val="340"/>
        </w:trPr>
        <w:tc>
          <w:tcPr>
            <w:tcW w:w="127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UEFA D ve UEFA E</w:t>
            </w:r>
          </w:p>
        </w:tc>
        <w:tc>
          <w:tcPr>
            <w:tcW w:w="1560"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Çalışma alanları yok</w:t>
            </w:r>
          </w:p>
        </w:tc>
        <w:tc>
          <w:tcPr>
            <w:tcW w:w="127" w:type="pct"/>
            <w:tcBorders>
              <w:top w:val="nil"/>
              <w:left w:val="nil"/>
              <w:bottom w:val="single" w:sz="8" w:space="0" w:color="BFBFBF"/>
              <w:right w:val="nil"/>
            </w:tcBorders>
            <w:tcMar>
              <w:top w:w="0" w:type="dxa"/>
              <w:left w:w="108" w:type="dxa"/>
              <w:bottom w:w="0" w:type="dxa"/>
              <w:right w:w="108" w:type="dxa"/>
            </w:tcMar>
          </w:tcPr>
          <w:p w:rsidR="00DC0905" w:rsidRDefault="00DC0905">
            <w:pPr>
              <w:jc w:val="center"/>
              <w:rPr>
                <w:rFonts w:ascii="Times New Roman" w:hAnsi="Times New Roman" w:cs="Times New Roman"/>
                <w:b/>
                <w:bCs/>
                <w:sz w:val="24"/>
                <w:szCs w:val="24"/>
              </w:rPr>
            </w:pPr>
          </w:p>
        </w:tc>
        <w:tc>
          <w:tcPr>
            <w:tcW w:w="2038" w:type="pct"/>
            <w:tcBorders>
              <w:top w:val="nil"/>
              <w:left w:val="nil"/>
              <w:bottom w:val="single" w:sz="8" w:space="0" w:color="BFBFBF"/>
              <w:right w:val="nil"/>
            </w:tcBorders>
            <w:tcMar>
              <w:top w:w="0" w:type="dxa"/>
              <w:left w:w="108" w:type="dxa"/>
              <w:bottom w:w="0" w:type="dxa"/>
              <w:right w:w="108" w:type="dxa"/>
            </w:tcMar>
            <w:vAlign w:val="center"/>
          </w:tcPr>
          <w:p w:rsidR="00DC0905" w:rsidRDefault="00DC0905">
            <w:pPr>
              <w:jc w:val="center"/>
              <w:rPr>
                <w:rFonts w:ascii="Times New Roman" w:hAnsi="Times New Roman" w:cs="Times New Roman"/>
                <w:b/>
                <w:bCs/>
                <w:sz w:val="24"/>
                <w:szCs w:val="24"/>
              </w:rPr>
            </w:pPr>
          </w:p>
        </w:tc>
      </w:tr>
    </w:tbl>
    <w:p w:rsidR="00DC0905" w:rsidRDefault="00DC0905" w:rsidP="00DC0905">
      <w:pPr>
        <w:jc w:val="both"/>
        <w:rPr>
          <w:rFonts w:ascii="Times New Roman" w:hAnsi="Times New Roman" w:cs="Times New Roman"/>
          <w:sz w:val="24"/>
          <w:szCs w:val="24"/>
        </w:rPr>
      </w:pPr>
    </w:p>
    <w:tbl>
      <w:tblPr>
        <w:tblW w:w="5800" w:type="pct"/>
        <w:tblInd w:w="-601" w:type="dxa"/>
        <w:tblCellMar>
          <w:left w:w="0" w:type="dxa"/>
          <w:right w:w="0" w:type="dxa"/>
        </w:tblCellMar>
        <w:tblLook w:val="04A0"/>
      </w:tblPr>
      <w:tblGrid>
        <w:gridCol w:w="3544"/>
        <w:gridCol w:w="2836"/>
        <w:gridCol w:w="2269"/>
        <w:gridCol w:w="2125"/>
      </w:tblGrid>
      <w:tr w:rsidR="00DC0905" w:rsidTr="00DC0905">
        <w:trPr>
          <w:trHeight w:val="340"/>
        </w:trPr>
        <w:tc>
          <w:tcPr>
            <w:tcW w:w="1645"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b/>
                <w:bCs/>
                <w:sz w:val="24"/>
                <w:szCs w:val="24"/>
              </w:rPr>
              <w:t>Referans Ücreti</w:t>
            </w:r>
          </w:p>
        </w:tc>
        <w:tc>
          <w:tcPr>
            <w:tcW w:w="1316"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b/>
                <w:bCs/>
                <w:sz w:val="24"/>
                <w:szCs w:val="24"/>
              </w:rPr>
              <w:t>Referanssız</w:t>
            </w:r>
          </w:p>
        </w:tc>
        <w:tc>
          <w:tcPr>
            <w:tcW w:w="1053"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b/>
                <w:bCs/>
                <w:sz w:val="24"/>
                <w:szCs w:val="24"/>
              </w:rPr>
              <w:t>Referanslı</w:t>
            </w:r>
          </w:p>
        </w:tc>
        <w:tc>
          <w:tcPr>
            <w:tcW w:w="986" w:type="pct"/>
            <w:tcBorders>
              <w:top w:val="single" w:sz="8" w:space="0" w:color="auto"/>
              <w:left w:val="nil"/>
              <w:bottom w:val="single" w:sz="8" w:space="0" w:color="auto"/>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b/>
                <w:bCs/>
                <w:sz w:val="24"/>
                <w:szCs w:val="24"/>
              </w:rPr>
              <w:t>Dernek Ücreti</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Teknik Sorumlusu </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19.800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6.600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6.600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Teknik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6.600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2.200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2.200 TL</w:t>
            </w:r>
          </w:p>
        </w:tc>
      </w:tr>
      <w:tr w:rsidR="00DC0905" w:rsidTr="00DC0905">
        <w:trPr>
          <w:trHeight w:val="340"/>
        </w:trPr>
        <w:tc>
          <w:tcPr>
            <w:tcW w:w="5000" w:type="pct"/>
            <w:gridSpan w:val="4"/>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rPr>
                <w:rFonts w:ascii="Times New Roman" w:hAnsi="Times New Roman" w:cs="Times New Roman"/>
                <w:sz w:val="24"/>
                <w:szCs w:val="24"/>
              </w:rPr>
            </w:pPr>
            <w:r>
              <w:rPr>
                <w:rFonts w:ascii="Times New Roman" w:hAnsi="Times New Roman" w:cs="Times New Roman"/>
                <w:sz w:val="24"/>
                <w:szCs w:val="24"/>
              </w:rPr>
              <w:t>Yabancı Uyruklu Teknik Adamlar için vize referans ücreti Kategorilerindeki rakamların 5 ( Beş ) kat’ıdır.</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Süper Lig Kaleci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4.050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1.350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1.350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 xml:space="preserve">Spor Toto Süper Lig Gençlik Gel. </w:t>
            </w:r>
            <w:proofErr w:type="spellStart"/>
            <w:r>
              <w:rPr>
                <w:rFonts w:ascii="Times New Roman" w:hAnsi="Times New Roman" w:cs="Times New Roman"/>
                <w:sz w:val="24"/>
                <w:szCs w:val="24"/>
              </w:rPr>
              <w:t>Tk</w:t>
            </w:r>
            <w:proofErr w:type="spellEnd"/>
            <w:r>
              <w:rPr>
                <w:rFonts w:ascii="Times New Roman" w:hAnsi="Times New Roman" w:cs="Times New Roman"/>
                <w:sz w:val="24"/>
                <w:szCs w:val="24"/>
              </w:rPr>
              <w:t>. Sor.</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2.100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700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700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Teknik Sorumlusu</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8.400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2.800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rPr>
                <w:rFonts w:ascii="Times New Roman" w:hAnsi="Times New Roman" w:cs="Times New Roman"/>
                <w:sz w:val="24"/>
                <w:szCs w:val="24"/>
              </w:rPr>
            </w:pPr>
            <w:r>
              <w:rPr>
                <w:rFonts w:ascii="Times New Roman" w:hAnsi="Times New Roman" w:cs="Times New Roman"/>
                <w:sz w:val="24"/>
                <w:szCs w:val="24"/>
              </w:rPr>
              <w:t>       2.800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Teknik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2.850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950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950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Bank Asya 1.Lig Kaleci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2.025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675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675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 xml:space="preserve">Bank Asya 1.Lig Gençlik Gel. </w:t>
            </w:r>
            <w:proofErr w:type="spellStart"/>
            <w:r>
              <w:rPr>
                <w:rFonts w:ascii="Times New Roman" w:hAnsi="Times New Roman" w:cs="Times New Roman"/>
                <w:sz w:val="24"/>
                <w:szCs w:val="24"/>
              </w:rPr>
              <w:t>Tk</w:t>
            </w:r>
            <w:proofErr w:type="spellEnd"/>
            <w:r>
              <w:rPr>
                <w:rFonts w:ascii="Times New Roman" w:hAnsi="Times New Roman" w:cs="Times New Roman"/>
                <w:sz w:val="24"/>
                <w:szCs w:val="24"/>
              </w:rPr>
              <w:t>. Sor.</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900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300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300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2.Lig Teknik Sorumlusu</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4.350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rPr>
                <w:rFonts w:ascii="Times New Roman" w:hAnsi="Times New Roman" w:cs="Times New Roman"/>
                <w:sz w:val="24"/>
                <w:szCs w:val="24"/>
              </w:rPr>
            </w:pPr>
            <w:r>
              <w:rPr>
                <w:rFonts w:ascii="Times New Roman" w:hAnsi="Times New Roman" w:cs="Times New Roman"/>
                <w:sz w:val="24"/>
                <w:szCs w:val="24"/>
              </w:rPr>
              <w:t>        1.450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rPr>
                <w:rFonts w:ascii="Times New Roman" w:hAnsi="Times New Roman" w:cs="Times New Roman"/>
                <w:sz w:val="24"/>
                <w:szCs w:val="24"/>
              </w:rPr>
            </w:pPr>
            <w:r>
              <w:rPr>
                <w:rFonts w:ascii="Times New Roman" w:hAnsi="Times New Roman" w:cs="Times New Roman"/>
                <w:sz w:val="24"/>
                <w:szCs w:val="24"/>
              </w:rPr>
              <w:t>      1.450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2.Lig Teknik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1.500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500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500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lastRenderedPageBreak/>
              <w:t>Spor Toto 2.Lig Kaleci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1.200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400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400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 xml:space="preserve">Spor Toto 2.Lig Gençlik Gel. </w:t>
            </w:r>
            <w:proofErr w:type="spellStart"/>
            <w:r>
              <w:rPr>
                <w:rFonts w:ascii="Times New Roman" w:hAnsi="Times New Roman" w:cs="Times New Roman"/>
                <w:sz w:val="24"/>
                <w:szCs w:val="24"/>
              </w:rPr>
              <w:t>Tk</w:t>
            </w:r>
            <w:proofErr w:type="spellEnd"/>
            <w:r>
              <w:rPr>
                <w:rFonts w:ascii="Times New Roman" w:hAnsi="Times New Roman" w:cs="Times New Roman"/>
                <w:sz w:val="24"/>
                <w:szCs w:val="24"/>
              </w:rPr>
              <w:t>. Sor.</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  810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270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270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3.Lig Teknik Sorumlusu</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2.910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970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970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3.Lig Teknik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870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290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290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Spor Toto 3.Lig Kaleci Antrenörü</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720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240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240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 xml:space="preserve">Spor Toto 3.Lig Gençlik Gel. </w:t>
            </w:r>
            <w:proofErr w:type="spellStart"/>
            <w:r>
              <w:rPr>
                <w:rFonts w:ascii="Times New Roman" w:hAnsi="Times New Roman" w:cs="Times New Roman"/>
                <w:sz w:val="24"/>
                <w:szCs w:val="24"/>
              </w:rPr>
              <w:t>Tk</w:t>
            </w:r>
            <w:proofErr w:type="spellEnd"/>
            <w:r>
              <w:rPr>
                <w:rFonts w:ascii="Times New Roman" w:hAnsi="Times New Roman" w:cs="Times New Roman"/>
                <w:sz w:val="24"/>
                <w:szCs w:val="24"/>
              </w:rPr>
              <w:t>. Sor.</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570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190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190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sz w:val="24"/>
                <w:szCs w:val="24"/>
              </w:rPr>
            </w:pPr>
            <w:r>
              <w:rPr>
                <w:rFonts w:ascii="Times New Roman" w:hAnsi="Times New Roman" w:cs="Times New Roman"/>
                <w:sz w:val="24"/>
                <w:szCs w:val="24"/>
              </w:rPr>
              <w:t>Tüm Gençlik Geliştirme Antrenörleri</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525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175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sz w:val="24"/>
                <w:szCs w:val="24"/>
              </w:rPr>
            </w:pPr>
            <w:r>
              <w:rPr>
                <w:rFonts w:ascii="Times New Roman" w:hAnsi="Times New Roman" w:cs="Times New Roman"/>
                <w:sz w:val="24"/>
                <w:szCs w:val="24"/>
              </w:rPr>
              <w:t>175 TL</w:t>
            </w:r>
          </w:p>
        </w:tc>
      </w:tr>
      <w:tr w:rsidR="00DC0905" w:rsidTr="00DC0905">
        <w:trPr>
          <w:trHeight w:val="340"/>
        </w:trPr>
        <w:tc>
          <w:tcPr>
            <w:tcW w:w="1645"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both"/>
              <w:rPr>
                <w:rFonts w:ascii="Times New Roman" w:hAnsi="Times New Roman" w:cs="Times New Roman"/>
                <w:b/>
                <w:bCs/>
                <w:sz w:val="24"/>
                <w:szCs w:val="24"/>
              </w:rPr>
            </w:pPr>
            <w:r>
              <w:rPr>
                <w:rFonts w:ascii="Times New Roman" w:hAnsi="Times New Roman" w:cs="Times New Roman"/>
                <w:sz w:val="24"/>
                <w:szCs w:val="24"/>
              </w:rPr>
              <w:t>Amatör Takım Teknik Adamları</w:t>
            </w:r>
          </w:p>
        </w:tc>
        <w:tc>
          <w:tcPr>
            <w:tcW w:w="131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330 TL</w:t>
            </w:r>
          </w:p>
        </w:tc>
        <w:tc>
          <w:tcPr>
            <w:tcW w:w="1053"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110 TL</w:t>
            </w:r>
          </w:p>
        </w:tc>
        <w:tc>
          <w:tcPr>
            <w:tcW w:w="986" w:type="pct"/>
            <w:tcBorders>
              <w:top w:val="nil"/>
              <w:left w:val="nil"/>
              <w:bottom w:val="single" w:sz="8" w:space="0" w:color="BFBFBF"/>
              <w:right w:val="nil"/>
            </w:tcBorders>
            <w:tcMar>
              <w:top w:w="0" w:type="dxa"/>
              <w:left w:w="108" w:type="dxa"/>
              <w:bottom w:w="0" w:type="dxa"/>
              <w:right w:w="108" w:type="dxa"/>
            </w:tcMar>
            <w:vAlign w:val="center"/>
            <w:hideMark/>
          </w:tcPr>
          <w:p w:rsidR="00DC0905" w:rsidRDefault="00DC0905">
            <w:pPr>
              <w:jc w:val="center"/>
              <w:rPr>
                <w:rFonts w:ascii="Times New Roman" w:hAnsi="Times New Roman" w:cs="Times New Roman"/>
                <w:b/>
                <w:bCs/>
                <w:sz w:val="24"/>
                <w:szCs w:val="24"/>
              </w:rPr>
            </w:pPr>
            <w:r>
              <w:rPr>
                <w:rFonts w:ascii="Times New Roman" w:hAnsi="Times New Roman" w:cs="Times New Roman"/>
                <w:sz w:val="24"/>
                <w:szCs w:val="24"/>
              </w:rPr>
              <w:t>110 TL</w:t>
            </w:r>
          </w:p>
        </w:tc>
      </w:tr>
    </w:tbl>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sz w:val="24"/>
          <w:szCs w:val="24"/>
        </w:rPr>
      </w:pPr>
    </w:p>
    <w:p w:rsidR="00DC0905" w:rsidRDefault="00DC0905" w:rsidP="00DC0905">
      <w:pPr>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 xml:space="preserve">15-FUTBOLCU TEMSİLCİLERİ VİZE ÜCRETİ </w:t>
      </w:r>
    </w:p>
    <w:p w:rsidR="00DC0905" w:rsidRDefault="00DC0905" w:rsidP="00DC0905">
      <w:pPr>
        <w:autoSpaceDE w:val="0"/>
        <w:autoSpaceDN w:val="0"/>
        <w:jc w:val="both"/>
        <w:rPr>
          <w:rFonts w:ascii="Times New Roman" w:hAnsi="Times New Roman" w:cs="Times New Roman"/>
          <w:b/>
          <w:bCs/>
          <w:sz w:val="24"/>
          <w:szCs w:val="24"/>
        </w:rPr>
      </w:pPr>
    </w:p>
    <w:p w:rsidR="00DC0905" w:rsidRDefault="00DC0905" w:rsidP="00DC0905">
      <w:pPr>
        <w:autoSpaceDE w:val="0"/>
        <w:autoSpaceDN w:val="0"/>
        <w:ind w:firstLine="708"/>
        <w:jc w:val="both"/>
        <w:rPr>
          <w:rFonts w:ascii="Times New Roman" w:hAnsi="Times New Roman" w:cs="Times New Roman"/>
          <w:sz w:val="24"/>
          <w:szCs w:val="24"/>
        </w:rPr>
      </w:pPr>
      <w:r>
        <w:rPr>
          <w:rFonts w:ascii="Times New Roman" w:hAnsi="Times New Roman" w:cs="Times New Roman"/>
          <w:sz w:val="24"/>
          <w:szCs w:val="24"/>
        </w:rPr>
        <w:t xml:space="preserve">Lisans geçerlilik süreleri dolan Futbolcu Temsilcilerinden, lisansın yenilenebilmesi için 1.500 TL vize ücreti alınmasına, </w:t>
      </w:r>
    </w:p>
    <w:p w:rsidR="00A554FB" w:rsidRDefault="00DC0905"/>
    <w:sectPr w:rsidR="00A554FB" w:rsidSect="004436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DC0905"/>
    <w:rsid w:val="00002B5F"/>
    <w:rsid w:val="000445A7"/>
    <w:rsid w:val="00421953"/>
    <w:rsid w:val="004436E3"/>
    <w:rsid w:val="00DC0905"/>
    <w:rsid w:val="00E819F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90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520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1833</Words>
  <Characters>10450</Characters>
  <Application>Microsoft Office Word</Application>
  <DocSecurity>0</DocSecurity>
  <Lines>87</Lines>
  <Paragraphs>24</Paragraphs>
  <ScaleCrop>false</ScaleCrop>
  <Company/>
  <LinksUpToDate>false</LinksUpToDate>
  <CharactersWithSpaces>12259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cemabanazir</dc:creator>
  <cp:keywords/>
  <dc:description/>
  <cp:lastModifiedBy>cemabanazir</cp:lastModifiedBy>
  <cp:revision>2</cp:revision>
  <dcterms:created xsi:type="dcterms:W3CDTF">2012-06-13T15:57:00Z</dcterms:created>
  <dcterms:modified xsi:type="dcterms:W3CDTF">2012-06-13T15:57:00Z</dcterms:modified>
</cp:coreProperties>
</file>