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33" w:rsidRPr="002B2233" w:rsidRDefault="00243295" w:rsidP="002B2233">
      <w:pPr>
        <w:jc w:val="center"/>
        <w:rPr>
          <w:b/>
          <w:sz w:val="28"/>
        </w:rPr>
      </w:pPr>
      <w:r>
        <w:rPr>
          <w:b/>
          <w:sz w:val="28"/>
        </w:rPr>
        <w:t xml:space="preserve">2014 </w:t>
      </w:r>
      <w:r w:rsidR="002B2233" w:rsidRPr="002B2233">
        <w:rPr>
          <w:b/>
          <w:sz w:val="28"/>
        </w:rPr>
        <w:t>Yıldız Kızlar Türkiye Şampiyonası Genel Esasları</w:t>
      </w:r>
    </w:p>
    <w:p w:rsidR="004C6541" w:rsidRDefault="002B2233" w:rsidP="004C6541">
      <w:pPr>
        <w:jc w:val="both"/>
      </w:pPr>
      <w:r>
        <w:t>*</w:t>
      </w:r>
      <w:r>
        <w:tab/>
      </w:r>
      <w:r w:rsidR="0057644F">
        <w:t xml:space="preserve">2014 </w:t>
      </w:r>
      <w:r>
        <w:t>Yıldız Kızlar Türkiye Şampiyonası müsabakalarında</w:t>
      </w:r>
      <w:r w:rsidR="001C31EF">
        <w:t>,</w:t>
      </w:r>
      <w:r>
        <w:t xml:space="preserve"> </w:t>
      </w:r>
      <w:r w:rsidR="00220BA6">
        <w:t>01.01.</w:t>
      </w:r>
      <w:r w:rsidR="0057644F">
        <w:t xml:space="preserve">1999 </w:t>
      </w:r>
      <w:r w:rsidR="009B0BFA">
        <w:t>ile 31.12.</w:t>
      </w:r>
      <w:r w:rsidR="0057644F">
        <w:t xml:space="preserve">2001 </w:t>
      </w:r>
      <w:r w:rsidR="009B0BFA">
        <w:t xml:space="preserve">tarihleri arasında </w:t>
      </w:r>
      <w:r w:rsidR="004C6541">
        <w:t>doğmuş</w:t>
      </w:r>
      <w:r w:rsidR="0093678D">
        <w:t>(bu tarihler dahil)</w:t>
      </w:r>
      <w:r w:rsidR="004C6541">
        <w:t xml:space="preserve"> olan</w:t>
      </w:r>
      <w:r w:rsidR="00B3063F">
        <w:t xml:space="preserve"> lisanslı</w:t>
      </w:r>
      <w:r w:rsidR="004C6541">
        <w:t xml:space="preserve"> </w:t>
      </w:r>
      <w:r w:rsidR="0003587C">
        <w:t>futbol</w:t>
      </w:r>
      <w:r w:rsidR="00B421B4">
        <w:t xml:space="preserve">cular </w:t>
      </w:r>
      <w:r>
        <w:t xml:space="preserve">oynayabilecektir. </w:t>
      </w:r>
      <w:r w:rsidR="0053727A">
        <w:t>Takımlarda ikisi kaleci olmak üzere en fazla 22 futbolcu bulundurabilirler.</w:t>
      </w:r>
      <w:r w:rsidR="00026C0C">
        <w:t xml:space="preserve"> Takımlarda yabancı futbolcu yer alamaz.</w:t>
      </w:r>
    </w:p>
    <w:p w:rsidR="00864E47" w:rsidRDefault="002B2233" w:rsidP="002B2233">
      <w:pPr>
        <w:jc w:val="both"/>
      </w:pPr>
      <w:r>
        <w:t>*</w:t>
      </w:r>
      <w:r>
        <w:tab/>
      </w:r>
      <w:r w:rsidR="0002037A">
        <w:t xml:space="preserve">Müsabakalar 11’er kişiden oluşan takımlar arasında, </w:t>
      </w:r>
      <w:r>
        <w:t>nizami sahalarda</w:t>
      </w:r>
      <w:r w:rsidR="0002037A">
        <w:t>,</w:t>
      </w:r>
      <w:r>
        <w:t xml:space="preserve"> </w:t>
      </w:r>
      <w:r w:rsidR="006200F5">
        <w:t xml:space="preserve">4 numaralı top ile </w:t>
      </w:r>
      <w:r>
        <w:t>oynanacaktır.</w:t>
      </w:r>
    </w:p>
    <w:p w:rsidR="00864E47" w:rsidRDefault="00864E47" w:rsidP="00864E47">
      <w:pPr>
        <w:jc w:val="both"/>
      </w:pPr>
      <w:r>
        <w:t>*</w:t>
      </w:r>
      <w:r>
        <w:tab/>
      </w:r>
      <w:r w:rsidR="0002037A" w:rsidRPr="0002037A">
        <w:t>Müsabakalarda yedek kulübesinde oturmaları kaydıyla sahaya en fazla 7 yedek futbolcu</w:t>
      </w:r>
      <w:r w:rsidR="0002037A">
        <w:t xml:space="preserve"> </w:t>
      </w:r>
      <w:r w:rsidR="001C31EF">
        <w:t>yedek kulübesinde bulunabilir.</w:t>
      </w:r>
      <w:r w:rsidR="0002037A">
        <w:t xml:space="preserve"> Takımlar</w:t>
      </w:r>
      <w:r>
        <w:t xml:space="preserve"> 5 oyuncu değiştirme hakkına sahip olacaktır. </w:t>
      </w:r>
    </w:p>
    <w:p w:rsidR="00EA4BFA" w:rsidRDefault="00EA4BFA" w:rsidP="00EA4BFA">
      <w:pPr>
        <w:jc w:val="both"/>
      </w:pPr>
      <w:r>
        <w:t>*</w:t>
      </w:r>
      <w:r>
        <w:tab/>
        <w:t>Müsabakalara katılacak takımlarda en az “TFF Grassroots C” veya dengi lisansa sahip bir teknik adamın yer alması ve bu kişinin müsabakalarda takımın başında görev alması zorunludur.</w:t>
      </w:r>
    </w:p>
    <w:p w:rsidR="00EA4BFA" w:rsidRDefault="00EA4BFA" w:rsidP="00EA4BFA">
      <w:pPr>
        <w:jc w:val="both"/>
      </w:pPr>
      <w:r>
        <w:t>*</w:t>
      </w:r>
      <w:r>
        <w:tab/>
        <w:t xml:space="preserve">Kadın teknik adama sahip olmayan takımlarda bir kadın yöneticinin bulunması ve bu kişinin müsabakalarda saha içinde yer alması zorunludur.  </w:t>
      </w:r>
    </w:p>
    <w:p w:rsidR="004C0250" w:rsidRDefault="00250F81" w:rsidP="002B2233">
      <w:pPr>
        <w:jc w:val="both"/>
      </w:pPr>
      <w:r>
        <w:t>*</w:t>
      </w:r>
      <w:r>
        <w:tab/>
        <w:t>M</w:t>
      </w:r>
      <w:r w:rsidR="0002037A">
        <w:t>üsabaka</w:t>
      </w:r>
      <w:r>
        <w:t>lar</w:t>
      </w:r>
      <w:r w:rsidR="0002037A">
        <w:t>ın süresi</w:t>
      </w:r>
      <w:r>
        <w:t xml:space="preserve"> 35 dakika</w:t>
      </w:r>
      <w:r w:rsidR="0002037A">
        <w:t>lık</w:t>
      </w:r>
      <w:r>
        <w:t xml:space="preserve"> 2 devre </w:t>
      </w:r>
      <w:r w:rsidR="0002037A">
        <w:t xml:space="preserve">olmak üzere </w:t>
      </w:r>
      <w:r>
        <w:t>toplam 7</w:t>
      </w:r>
      <w:r w:rsidR="00864E47">
        <w:t>0 d</w:t>
      </w:r>
      <w:r w:rsidR="0002037A">
        <w:t>akikadır</w:t>
      </w:r>
      <w:r w:rsidR="00864E47">
        <w:t>. Eleme</w:t>
      </w:r>
      <w:r>
        <w:t xml:space="preserve"> usulünde oynanan m</w:t>
      </w:r>
      <w:r w:rsidR="0002037A">
        <w:t>üsabaka</w:t>
      </w:r>
      <w:r>
        <w:t>larda eşitlik halinde 10'ar dakikalık 2 uzat</w:t>
      </w:r>
      <w:r w:rsidR="004C0250">
        <w:t>ma devresi oynatılacaktır. E</w:t>
      </w:r>
      <w:r>
        <w:t>şitliği</w:t>
      </w:r>
      <w:r w:rsidR="004C0250">
        <w:t>n</w:t>
      </w:r>
      <w:r>
        <w:t xml:space="preserve"> bozulmaması halinde seri penaltı atışları sonucunda kazanan takım belirlenecektir.   </w:t>
      </w:r>
      <w:r w:rsidR="00864E47">
        <w:t xml:space="preserve"> </w:t>
      </w:r>
    </w:p>
    <w:p w:rsidR="00702004" w:rsidRDefault="00702004" w:rsidP="002B2233">
      <w:pPr>
        <w:jc w:val="both"/>
      </w:pPr>
      <w:r>
        <w:t>*</w:t>
      </w:r>
      <w:r>
        <w:tab/>
      </w:r>
      <w:r w:rsidR="000E7E91">
        <w:t xml:space="preserve">Müsabakaya 9 kişiden az bir kadroyla çıkan, oyuncu uygunluğuna sahip olmayan bir futbolcuyu oynatan takımlara </w:t>
      </w:r>
      <w:r w:rsidR="0045054F">
        <w:t xml:space="preserve">“Deplasman Katkı Payı” </w:t>
      </w:r>
      <w:r w:rsidR="000E7E91">
        <w:t xml:space="preserve">ödenmez. </w:t>
      </w:r>
    </w:p>
    <w:p w:rsidR="00172CF5" w:rsidRDefault="002B2233" w:rsidP="002B2233">
      <w:pPr>
        <w:jc w:val="both"/>
      </w:pPr>
      <w:r>
        <w:t>*</w:t>
      </w:r>
      <w:r>
        <w:tab/>
      </w:r>
      <w:r w:rsidR="00503518">
        <w:t>Yıldız Kızlar Türkiye Şampiyonası’na iştirak edecek olan kulüplerin, oynatacakları futbolcuların ad ve soyadını, lisans numaralarını kulüp antetli kağıdına yazarak</w:t>
      </w:r>
      <w:r w:rsidR="00DD2FE8">
        <w:t>, kulüp yetkilisinin imzası ve kaşesiyle</w:t>
      </w:r>
      <w:r w:rsidR="00503518">
        <w:t xml:space="preserve">, </w:t>
      </w:r>
      <w:r w:rsidR="00B93897" w:rsidRPr="00B93897">
        <w:t>3</w:t>
      </w:r>
      <w:r w:rsidR="006174FC">
        <w:t>0.05.2014</w:t>
      </w:r>
      <w:r w:rsidR="0003220E" w:rsidRPr="0003220E">
        <w:t xml:space="preserve"> </w:t>
      </w:r>
      <w:r w:rsidR="006174FC">
        <w:t>Cuma</w:t>
      </w:r>
      <w:r w:rsidR="009B0BFA">
        <w:t xml:space="preserve"> </w:t>
      </w:r>
      <w:r w:rsidR="0003220E">
        <w:t xml:space="preserve">günü </w:t>
      </w:r>
      <w:r w:rsidR="00503518">
        <w:t>mesai bitimine kadar Türkiye Futbol Federasyonu’na bildirmek zorundadırlar. E</w:t>
      </w:r>
      <w:r w:rsidR="0057644F">
        <w:t>K-</w:t>
      </w:r>
      <w:r w:rsidR="00BE5F5A">
        <w:t>1</w:t>
      </w:r>
      <w:r w:rsidR="00503518">
        <w:t>’</w:t>
      </w:r>
      <w:r w:rsidR="00BE5F5A">
        <w:t>d</w:t>
      </w:r>
      <w:r w:rsidR="00503518">
        <w:t xml:space="preserve">e yer alan oyuncu isim listesi, Türkiye Futbol Federasyonu’nun </w:t>
      </w:r>
      <w:r w:rsidR="00155BE9" w:rsidRPr="00B93897">
        <w:t xml:space="preserve">0 </w:t>
      </w:r>
      <w:r w:rsidR="00B93897" w:rsidRPr="00B93897">
        <w:t xml:space="preserve">212 </w:t>
      </w:r>
      <w:r w:rsidR="00B93897">
        <w:t>282 70 18</w:t>
      </w:r>
      <w:r w:rsidR="00503518">
        <w:t xml:space="preserve"> faks numarasına faks yoluyla veya </w:t>
      </w:r>
      <w:hyperlink r:id="rId4" w:history="1">
        <w:r w:rsidR="0057644F">
          <w:rPr>
            <w:rStyle w:val="Kpr"/>
          </w:rPr>
          <w:t>filizonuk</w:t>
        </w:r>
        <w:r w:rsidR="0057644F" w:rsidRPr="00551FC2">
          <w:rPr>
            <w:rStyle w:val="Kpr"/>
          </w:rPr>
          <w:t>@tff.org</w:t>
        </w:r>
      </w:hyperlink>
      <w:r w:rsidR="00503518" w:rsidRPr="00C15B76">
        <w:t xml:space="preserve"> </w:t>
      </w:r>
      <w:r w:rsidR="00503518">
        <w:t xml:space="preserve"> adresine elektronik posta yoluyla gönderilebilir. Kulüpler tarafından gönderilen</w:t>
      </w:r>
      <w:r>
        <w:t xml:space="preserve"> isim listeleri,  Türkiye Futbol Federasyonu tarafından onaylanacak ve şampiyona boyunca kulüpler tarafından kullanılacaktır. </w:t>
      </w:r>
      <w:r w:rsidR="002F3A81">
        <w:t>İ</w:t>
      </w:r>
      <w:r w:rsidR="0003220E">
        <w:t xml:space="preserve">sim listelerinde yer almayan futbolcular müsabakalarda yer alamayacaklardır.  </w:t>
      </w:r>
    </w:p>
    <w:p w:rsidR="00172CF5" w:rsidRDefault="00172CF5" w:rsidP="00172CF5">
      <w:pPr>
        <w:jc w:val="both"/>
      </w:pPr>
      <w:r>
        <w:t>*</w:t>
      </w:r>
      <w:r>
        <w:tab/>
        <w:t>Şampiyonaya katılacağını beyan etmekle birlikte, grupların belirlenmesinden ve ilanından sonra şampiyonadan çekilen takımlar, bir sonraki yıl bu kategoride düzenlenecek şampiyonaya katılamazlar.</w:t>
      </w:r>
    </w:p>
    <w:p w:rsidR="002B2233" w:rsidRDefault="002B2233" w:rsidP="002B2233">
      <w:pPr>
        <w:jc w:val="both"/>
      </w:pPr>
      <w:r>
        <w:t>*</w:t>
      </w:r>
      <w:r>
        <w:tab/>
      </w:r>
      <w:r w:rsidRPr="00C15B76">
        <w:t>Kulüplerimize km başına 1</w:t>
      </w:r>
      <w:r>
        <w:t>,5 TL ödenecek olup, 20</w:t>
      </w:r>
      <w:r w:rsidRPr="00C15B76">
        <w:t>0 km ve üzerinde mesafe kat</w:t>
      </w:r>
      <w:r>
        <w:t xml:space="preserve"> </w:t>
      </w:r>
      <w:r w:rsidRPr="00C15B76">
        <w:t xml:space="preserve">edecek olan kulüplere günlük </w:t>
      </w:r>
      <w:r w:rsidR="00862C9E">
        <w:t>15</w:t>
      </w:r>
      <w:r w:rsidR="007319DF">
        <w:t>0</w:t>
      </w:r>
      <w:r w:rsidR="00862C9E">
        <w:t>0</w:t>
      </w:r>
      <w:r w:rsidR="00862C9E" w:rsidRPr="00C15B76">
        <w:t xml:space="preserve"> </w:t>
      </w:r>
      <w:r w:rsidRPr="00C15B76">
        <w:t xml:space="preserve">TL  </w:t>
      </w:r>
      <w:r w:rsidR="0045054F">
        <w:t xml:space="preserve">“Deplasman Katkı Payı” </w:t>
      </w:r>
      <w:r w:rsidRPr="00C15B76">
        <w:t xml:space="preserve">verilecektir. </w:t>
      </w:r>
      <w:r w:rsidR="00892F14">
        <w:t xml:space="preserve">Final müsabakalarında yer alma hakkı kazanan kulüplere 200 km. mesafe şartı aranmaksızın </w:t>
      </w:r>
      <w:r w:rsidR="0045054F" w:rsidRPr="0045054F">
        <w:t xml:space="preserve">“Deplasman Katkı Payı” </w:t>
      </w:r>
      <w:r w:rsidR="00892F14">
        <w:t xml:space="preserve">verilecektir.    </w:t>
      </w:r>
    </w:p>
    <w:p w:rsidR="006F2132" w:rsidRDefault="006F2132" w:rsidP="006F2132">
      <w:pPr>
        <w:jc w:val="both"/>
      </w:pPr>
      <w:r>
        <w:t xml:space="preserve">* </w:t>
      </w:r>
      <w:r>
        <w:tab/>
        <w:t xml:space="preserve">Müsabakalarda görev yapacak personel ücretleri </w:t>
      </w:r>
      <w:r w:rsidR="0057644F">
        <w:t>2013</w:t>
      </w:r>
      <w:r>
        <w:t>-</w:t>
      </w:r>
      <w:r w:rsidR="0057644F">
        <w:t xml:space="preserve">2014 </w:t>
      </w:r>
      <w:r>
        <w:t xml:space="preserve">sezonu Amatör Ligler’de uygulanacak personel ücret esasları çerçevesinde ödenecektir. </w:t>
      </w:r>
    </w:p>
    <w:p w:rsidR="002B2233" w:rsidRDefault="002B2233" w:rsidP="002B2233">
      <w:pPr>
        <w:jc w:val="both"/>
      </w:pPr>
      <w:r>
        <w:t>*</w:t>
      </w:r>
      <w:r>
        <w:tab/>
        <w:t>Müsa</w:t>
      </w:r>
      <w:r w:rsidR="004C0250">
        <w:t>bakaların oynanacağı bölgeler,</w:t>
      </w:r>
      <w:r>
        <w:t xml:space="preserve"> müsabaka sistemi </w:t>
      </w:r>
      <w:r w:rsidR="004C0250">
        <w:t xml:space="preserve">ve Türkiye Şampiyonası Final Organizasyonu </w:t>
      </w:r>
      <w:r>
        <w:t>takımların katılım durumuna göre belirlenecektir.</w:t>
      </w:r>
    </w:p>
    <w:p w:rsidR="005258DC" w:rsidRDefault="005258DC" w:rsidP="002B2233">
      <w:pPr>
        <w:jc w:val="both"/>
      </w:pPr>
      <w:r>
        <w:t xml:space="preserve">* </w:t>
      </w:r>
      <w:r>
        <w:tab/>
      </w:r>
      <w:r w:rsidR="0057644F">
        <w:t>2013</w:t>
      </w:r>
      <w:r w:rsidR="00FC350D">
        <w:t>-</w:t>
      </w:r>
      <w:r w:rsidR="0057644F">
        <w:t xml:space="preserve">2014 </w:t>
      </w:r>
      <w:r w:rsidR="00FC350D">
        <w:t xml:space="preserve">Sezonu’nda </w:t>
      </w:r>
      <w:r>
        <w:t xml:space="preserve">Kadınlar 1. </w:t>
      </w:r>
      <w:r w:rsidR="00FC350D">
        <w:t xml:space="preserve">ve 2. </w:t>
      </w:r>
      <w:r>
        <w:t>Ligi’nde yer alan kulüplerin Genç ve Yıldız Kızlar Türkiye Şampiyonaları’</w:t>
      </w:r>
      <w:r w:rsidR="00FC350D">
        <w:t>nda</w:t>
      </w:r>
      <w:r>
        <w:t>n en az birine katılımı zorunludur.</w:t>
      </w:r>
      <w:r w:rsidR="00DF6FF3">
        <w:t xml:space="preserve"> </w:t>
      </w:r>
      <w:r w:rsidR="0057644F">
        <w:t>2014</w:t>
      </w:r>
      <w:r w:rsidR="00FC350D">
        <w:t>-</w:t>
      </w:r>
      <w:r w:rsidR="0057644F">
        <w:t xml:space="preserve">2015 </w:t>
      </w:r>
      <w:r w:rsidR="00FC350D">
        <w:t>Sezonunda Ka</w:t>
      </w:r>
      <w:r w:rsidR="00DF6FF3">
        <w:t>dınlar</w:t>
      </w:r>
      <w:r w:rsidR="00FC350D">
        <w:t xml:space="preserve"> </w:t>
      </w:r>
      <w:r w:rsidR="0057644F">
        <w:t>3</w:t>
      </w:r>
      <w:r w:rsidR="00DF6FF3">
        <w:t xml:space="preserve">. Ligi’ne </w:t>
      </w:r>
      <w:r w:rsidR="00FC350D">
        <w:lastRenderedPageBreak/>
        <w:t xml:space="preserve">yeni dahil olacak kulüplerin </w:t>
      </w:r>
      <w:r w:rsidR="0057644F">
        <w:t xml:space="preserve">2014 </w:t>
      </w:r>
      <w:r w:rsidR="00FC350D">
        <w:t>Yıldız</w:t>
      </w:r>
      <w:r w:rsidR="00DF6FF3" w:rsidRPr="00DF6FF3">
        <w:t xml:space="preserve"> veya Genç</w:t>
      </w:r>
      <w:r w:rsidR="00FC350D">
        <w:t xml:space="preserve"> Kızlar Türkiye Şampiyonalarından</w:t>
      </w:r>
      <w:r w:rsidR="00DF6FF3" w:rsidRPr="00DF6FF3">
        <w:t xml:space="preserve"> herhangi birine katılma</w:t>
      </w:r>
      <w:r w:rsidR="00FC350D">
        <w:t>ları zorunludur.</w:t>
      </w:r>
      <w:r>
        <w:t xml:space="preserve"> </w:t>
      </w:r>
    </w:p>
    <w:p w:rsidR="00172CF5" w:rsidRPr="00172CF5" w:rsidRDefault="00394465" w:rsidP="00172CF5">
      <w:pPr>
        <w:jc w:val="both"/>
      </w:pPr>
      <w:r w:rsidRPr="00394465">
        <w:t>*</w:t>
      </w:r>
      <w:r w:rsidRPr="00394465">
        <w:tab/>
        <w:t>Kadınlar 1. ve 2. Ligleri</w:t>
      </w:r>
      <w:r w:rsidR="00172CF5">
        <w:t>’nde,</w:t>
      </w:r>
      <w:r w:rsidRPr="00394465">
        <w:t xml:space="preserve"> müsabakalarından kaynaklanan soyunma odası ve yedek kulübesine giriş yasağı, müsabakadan men ve kırmızı kart cezası bulunan kişilerin cezaları </w:t>
      </w:r>
      <w:r w:rsidR="00172CF5">
        <w:t>Yıldız Kızlar Türkiye</w:t>
      </w:r>
      <w:r w:rsidRPr="00394465">
        <w:t xml:space="preserve"> Şampiyona</w:t>
      </w:r>
      <w:r w:rsidR="00172CF5">
        <w:t>sı</w:t>
      </w:r>
      <w:r w:rsidRPr="00394465">
        <w:t xml:space="preserve"> müsabakalarında infaz edilmeyecektir. </w:t>
      </w:r>
    </w:p>
    <w:p w:rsidR="00172CF5" w:rsidRDefault="00394465" w:rsidP="00172CF5">
      <w:pPr>
        <w:jc w:val="both"/>
      </w:pPr>
      <w:r w:rsidRPr="00394465">
        <w:t>*</w:t>
      </w:r>
      <w:r w:rsidRPr="00394465">
        <w:tab/>
        <w:t xml:space="preserve">Müsabakalarda sarı kart takibi yapılmayacaktır. </w:t>
      </w:r>
      <w:r w:rsidR="00172CF5">
        <w:t>Yıldız Kızlar Türkiye</w:t>
      </w:r>
      <w:r w:rsidR="00172CF5" w:rsidRPr="00172CF5">
        <w:t xml:space="preserve"> Şampiyona</w:t>
      </w:r>
      <w:r w:rsidR="00172CF5">
        <w:t>sı</w:t>
      </w:r>
      <w:r w:rsidR="00172CF5" w:rsidRPr="00172CF5">
        <w:t xml:space="preserve"> </w:t>
      </w:r>
      <w:r w:rsidR="009100C3" w:rsidRPr="00172CF5">
        <w:t xml:space="preserve">kapsamında </w:t>
      </w:r>
      <w:r w:rsidR="0079498F">
        <w:t>Amatör Futbol</w:t>
      </w:r>
      <w:r w:rsidRPr="00394465">
        <w:t xml:space="preserve"> Disiplin Kurulları tarafından verilen cezalar ile kırmızı kart cezaları,  yalnızca </w:t>
      </w:r>
      <w:r w:rsidR="009100C3">
        <w:t>Yıldız Kızlar Türkiye</w:t>
      </w:r>
      <w:r w:rsidR="009100C3" w:rsidRPr="00172CF5">
        <w:t xml:space="preserve"> Şampiyona</w:t>
      </w:r>
      <w:r w:rsidR="009100C3">
        <w:t>sı</w:t>
      </w:r>
      <w:r w:rsidR="009100C3" w:rsidRPr="00172CF5">
        <w:t xml:space="preserve"> </w:t>
      </w:r>
      <w:r w:rsidRPr="00394465">
        <w:t xml:space="preserve">kategorisinde infaz edilecektir. </w:t>
      </w:r>
      <w:r w:rsidR="009100C3">
        <w:t>Yıldız Kızlar Türkiye</w:t>
      </w:r>
      <w:r w:rsidR="009100C3" w:rsidRPr="00172CF5">
        <w:t xml:space="preserve"> Şampiyona</w:t>
      </w:r>
      <w:r w:rsidR="009100C3">
        <w:t>sı</w:t>
      </w:r>
      <w:r w:rsidR="009100C3" w:rsidRPr="00172CF5">
        <w:t xml:space="preserve"> </w:t>
      </w:r>
      <w:r w:rsidRPr="00394465">
        <w:t xml:space="preserve">müsabakaları sonunda infazı tamamlanmayan kırmızı kart, müsabakadan men ve soyunma odası ve yedek kulübesine giriş yasağı cezaları, </w:t>
      </w:r>
      <w:r w:rsidR="009100C3">
        <w:t xml:space="preserve">oyuncu uygunluğunun bulunduğu </w:t>
      </w:r>
      <w:r w:rsidRPr="00394465">
        <w:t>diğer kategorilerde infaz edilebilir.</w:t>
      </w:r>
      <w:r w:rsidR="00172CF5">
        <w:t xml:space="preserve"> </w:t>
      </w:r>
    </w:p>
    <w:p w:rsidR="003E4329" w:rsidRDefault="003E4329" w:rsidP="002B2233">
      <w:pPr>
        <w:jc w:val="both"/>
      </w:pPr>
      <w:r>
        <w:t>*</w:t>
      </w:r>
      <w:r>
        <w:tab/>
        <w:t>Genel esaslarda belirtilmeyen hususlarla ilgili olarak karar verme yetkisi TFF'ye aittir.</w:t>
      </w:r>
    </w:p>
    <w:p w:rsidR="002B2233" w:rsidRPr="00C15B76" w:rsidRDefault="002B2233" w:rsidP="002B2233">
      <w:pPr>
        <w:jc w:val="both"/>
      </w:pPr>
      <w:r>
        <w:t>*</w:t>
      </w:r>
      <w:r>
        <w:tab/>
      </w:r>
      <w:r w:rsidRPr="00C15B76">
        <w:t>Şampiyonaya katılan tüm takımlarımıza başarılar dileriz.</w:t>
      </w:r>
    </w:p>
    <w:p w:rsidR="006F2132" w:rsidRDefault="006F2132">
      <w:pPr>
        <w:spacing w:after="0" w:line="240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DC2AF6" w:rsidRPr="002B2233" w:rsidRDefault="00243295" w:rsidP="002B2233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2014 </w:t>
      </w:r>
      <w:r w:rsidR="00DC2AF6" w:rsidRPr="002B2233">
        <w:rPr>
          <w:b/>
          <w:sz w:val="28"/>
        </w:rPr>
        <w:t>Genç Kızlar Türkiye Şampiyonası Genel Esasları</w:t>
      </w:r>
    </w:p>
    <w:p w:rsidR="004C6541" w:rsidRDefault="00681670" w:rsidP="004C6541">
      <w:pPr>
        <w:jc w:val="both"/>
      </w:pPr>
      <w:r>
        <w:t>*</w:t>
      </w:r>
      <w:r>
        <w:tab/>
      </w:r>
      <w:r w:rsidR="0057644F">
        <w:t xml:space="preserve">2014 </w:t>
      </w:r>
      <w:r w:rsidR="00A77F07">
        <w:t xml:space="preserve">Genç Kızlar Türkiye Şampiyonası müsabakalarında </w:t>
      </w:r>
      <w:r w:rsidR="00862C9E">
        <w:t>01.01.</w:t>
      </w:r>
      <w:r w:rsidR="009B0BFA">
        <w:t>199</w:t>
      </w:r>
      <w:r w:rsidR="0007619E">
        <w:t>7</w:t>
      </w:r>
      <w:r w:rsidR="009B0BFA">
        <w:t xml:space="preserve"> </w:t>
      </w:r>
      <w:r w:rsidR="00862C9E">
        <w:t>ile 31.12.</w:t>
      </w:r>
      <w:r w:rsidR="0007619E">
        <w:t xml:space="preserve">2000 </w:t>
      </w:r>
      <w:r w:rsidR="00862C9E">
        <w:t>tarihleri arasında</w:t>
      </w:r>
      <w:r w:rsidR="0053727A">
        <w:t xml:space="preserve">(bu tarihler dahil) </w:t>
      </w:r>
      <w:r w:rsidR="00A77F07">
        <w:t xml:space="preserve"> </w:t>
      </w:r>
      <w:r w:rsidR="00862C9E">
        <w:t>doğmuş</w:t>
      </w:r>
      <w:r w:rsidR="003E0F29">
        <w:t xml:space="preserve"> lisanslı</w:t>
      </w:r>
      <w:r w:rsidR="00A77F07">
        <w:t xml:space="preserve"> </w:t>
      </w:r>
      <w:r w:rsidR="0003587C">
        <w:t>futbolcular</w:t>
      </w:r>
      <w:r w:rsidR="00A77F07">
        <w:t xml:space="preserve"> oynayabilecektir. </w:t>
      </w:r>
      <w:r w:rsidR="0053727A">
        <w:t>Takımlarda ikisi kaleci olmak üzere en fazla 22 futbolcu bulundurabilirler.</w:t>
      </w:r>
      <w:r w:rsidR="00026C0C" w:rsidRPr="00026C0C">
        <w:t xml:space="preserve"> </w:t>
      </w:r>
      <w:r w:rsidR="00026C0C">
        <w:t>Takımlarda yabancı futbolcu yer alamaz.</w:t>
      </w:r>
    </w:p>
    <w:p w:rsidR="003E0F29" w:rsidRDefault="00681670" w:rsidP="003E0F29">
      <w:pPr>
        <w:jc w:val="both"/>
      </w:pPr>
      <w:r>
        <w:t>*</w:t>
      </w:r>
      <w:r>
        <w:tab/>
      </w:r>
      <w:r w:rsidR="003E0F29">
        <w:t xml:space="preserve">Müsabakalar 11’er kişiden oluşan takımlar arasında, nizami sahalarda, </w:t>
      </w:r>
      <w:r w:rsidR="00410142">
        <w:t>5</w:t>
      </w:r>
      <w:r w:rsidR="003E0F29">
        <w:t xml:space="preserve"> numaralı top ile oynanacaktır.</w:t>
      </w:r>
    </w:p>
    <w:p w:rsidR="003E0F29" w:rsidRDefault="003E0F29" w:rsidP="003E0F29">
      <w:pPr>
        <w:jc w:val="both"/>
      </w:pPr>
      <w:r>
        <w:t>*</w:t>
      </w:r>
      <w:r>
        <w:tab/>
      </w:r>
      <w:r w:rsidRPr="0002037A">
        <w:t>Müsabakalarda yedek kulübesinde oturmaları kaydıyla sahaya en fazla 7 yedek futbolcu</w:t>
      </w:r>
      <w:r>
        <w:t xml:space="preserve"> </w:t>
      </w:r>
      <w:r w:rsidR="001C31EF">
        <w:t>yedek kulübesinde</w:t>
      </w:r>
      <w:r>
        <w:t xml:space="preserve">. Takımlar 5 oyuncu değiştirme hakkına sahip olacaktır. </w:t>
      </w:r>
    </w:p>
    <w:p w:rsidR="00EA4BFA" w:rsidRDefault="00EA4BFA" w:rsidP="00EA4BFA">
      <w:pPr>
        <w:jc w:val="both"/>
      </w:pPr>
      <w:r>
        <w:t>*</w:t>
      </w:r>
      <w:r>
        <w:tab/>
        <w:t>Müsabakalara katılacak takımlarda en az “TFF Grassroots C” veya dengi lisansa sahip bir teknik adamın yer alması ve bu kişinin müsabakalarda takımın başında görev alması zorunludur.</w:t>
      </w:r>
    </w:p>
    <w:p w:rsidR="00EA4BFA" w:rsidRDefault="00EA4BFA" w:rsidP="00A77F07">
      <w:pPr>
        <w:jc w:val="both"/>
      </w:pPr>
      <w:r>
        <w:t>*</w:t>
      </w:r>
      <w:r>
        <w:tab/>
        <w:t xml:space="preserve">Kadın teknik adama sahip olmayan takımlarda bir kadın yöneticinin bulunması ve bu kişinin müsabakalarda saha içinde yer alması zorunludur.  </w:t>
      </w:r>
    </w:p>
    <w:p w:rsidR="00A77F07" w:rsidRDefault="00A77F07" w:rsidP="00A77F07">
      <w:pPr>
        <w:jc w:val="both"/>
      </w:pPr>
      <w:r>
        <w:t>*</w:t>
      </w:r>
      <w:r>
        <w:tab/>
      </w:r>
      <w:r w:rsidR="003E0F29">
        <w:t>Müsabakaların süresi 40 dakikalık 2 devre olmak üzere toplam 80 dakikadır.</w:t>
      </w:r>
      <w:r>
        <w:t xml:space="preserve"> Eleme usulünde oynanan maçlarda eşitlik halinde 10'ar dakikalık 2 uzatma devresi oynatılacaktır. Eşitliğin bozulmaması halinde seri penaltı atışları sonucunda kazanan takım belirlenecektir.    </w:t>
      </w:r>
    </w:p>
    <w:p w:rsidR="00330B62" w:rsidRDefault="00330B62" w:rsidP="00330B62">
      <w:pPr>
        <w:jc w:val="both"/>
      </w:pPr>
      <w:r>
        <w:t>*</w:t>
      </w:r>
      <w:r>
        <w:tab/>
        <w:t xml:space="preserve">Müsabakaya 9 kişiden az bir kadroyla çıkan, oyuncu uygunluğuna sahip olmayan bir futbolcuyu oynatan takımlara “Deplasman Katkı Payı” ödenmez. </w:t>
      </w:r>
    </w:p>
    <w:p w:rsidR="00A77F07" w:rsidRDefault="00A77F07" w:rsidP="00A77F07">
      <w:pPr>
        <w:jc w:val="both"/>
      </w:pPr>
      <w:r>
        <w:t>*</w:t>
      </w:r>
      <w:r>
        <w:tab/>
      </w:r>
      <w:r w:rsidR="00CF4232">
        <w:t>Genç Kızlar Türkiye Şampiyonası’na iştirak edecek olan kulüplerin, oynatacakları futbolcuların ad ve soyadını, lisans numaralarını kulüp antetli kağıdına</w:t>
      </w:r>
      <w:r w:rsidR="00330B62">
        <w:t>,</w:t>
      </w:r>
      <w:r w:rsidR="00CF4232">
        <w:t xml:space="preserve"> </w:t>
      </w:r>
      <w:r w:rsidR="00330B62">
        <w:t>kulüp yetkilisinin imzası ve kaşesiyle,</w:t>
      </w:r>
      <w:r w:rsidR="00CF4232" w:rsidRPr="0003220E">
        <w:t xml:space="preserve"> </w:t>
      </w:r>
      <w:r w:rsidR="00B93897" w:rsidRPr="00B93897">
        <w:t>30</w:t>
      </w:r>
      <w:r w:rsidR="00155BE9" w:rsidRPr="00B93897">
        <w:t>.05.201</w:t>
      </w:r>
      <w:r w:rsidR="00B03240">
        <w:t>4</w:t>
      </w:r>
      <w:r w:rsidR="00CF4232" w:rsidRPr="0003220E">
        <w:t xml:space="preserve"> </w:t>
      </w:r>
      <w:r w:rsidR="0022666A">
        <w:t>Cuma</w:t>
      </w:r>
      <w:r w:rsidR="00B818A4">
        <w:t xml:space="preserve"> </w:t>
      </w:r>
      <w:r w:rsidR="00CF4232">
        <w:t>günü mesai bitimine kadar Türkiye Futbol Federasyonu’na bildirmek zorundadırlar. E</w:t>
      </w:r>
      <w:r w:rsidR="00A369EB">
        <w:t>K-</w:t>
      </w:r>
      <w:r w:rsidR="00BE5F5A">
        <w:t>2</w:t>
      </w:r>
      <w:r w:rsidR="00CF4232">
        <w:t>’</w:t>
      </w:r>
      <w:r w:rsidR="00BE5F5A">
        <w:t>d</w:t>
      </w:r>
      <w:r w:rsidR="00CF4232">
        <w:t xml:space="preserve">e yer alan oyuncu isim listesi, Türkiye Futbol Federasyonu’nun </w:t>
      </w:r>
      <w:r w:rsidR="00155BE9" w:rsidRPr="00B93897">
        <w:t xml:space="preserve">0 </w:t>
      </w:r>
      <w:r w:rsidR="00B93897" w:rsidRPr="00B93897">
        <w:t xml:space="preserve">212 </w:t>
      </w:r>
      <w:r w:rsidR="00B93897">
        <w:t>282 70 18</w:t>
      </w:r>
      <w:r w:rsidR="004970EA">
        <w:t xml:space="preserve"> </w:t>
      </w:r>
      <w:r w:rsidR="00CF4232">
        <w:t xml:space="preserve">faks numarasına faks yoluyla veya </w:t>
      </w:r>
      <w:hyperlink r:id="rId5" w:history="1">
        <w:r w:rsidR="0057644F" w:rsidRPr="00AD16B5">
          <w:rPr>
            <w:rStyle w:val="Kpr"/>
          </w:rPr>
          <w:t>filizonuk@tff.org</w:t>
        </w:r>
      </w:hyperlink>
      <w:r w:rsidR="00CF4232" w:rsidRPr="00C15B76">
        <w:t xml:space="preserve"> </w:t>
      </w:r>
      <w:r w:rsidR="00CF4232">
        <w:t xml:space="preserve"> adresine elektronik posta yoluyla gönderilebilir.  Kulüpler tarafından gönderilen </w:t>
      </w:r>
      <w:r>
        <w:t xml:space="preserve">isim listeleri,  Türkiye Futbol Federasyonu tarafından onaylanacak ve şampiyona boyunca kulüpler tarafından kullanılacaktır. </w:t>
      </w:r>
      <w:r w:rsidR="00330B62">
        <w:t>İ</w:t>
      </w:r>
      <w:r w:rsidR="0003220E">
        <w:t xml:space="preserve">sim listelerinde yer almayan futbolcular müsabakalarda yer alamayacaklardır. </w:t>
      </w:r>
    </w:p>
    <w:p w:rsidR="00444AE0" w:rsidRDefault="00444AE0" w:rsidP="00444AE0">
      <w:pPr>
        <w:jc w:val="both"/>
      </w:pPr>
      <w:r>
        <w:t>*</w:t>
      </w:r>
      <w:r>
        <w:tab/>
        <w:t>Şampiyonaya katılacağını beyan etmekle birlikte, grupların belirlenmesinden ve ilanından sonra şampiyonadan çekilen takımlar, bir sonraki yıl bu kategoride düzenlenecek şampiyonaya katılamazlar.</w:t>
      </w:r>
    </w:p>
    <w:p w:rsidR="00892F14" w:rsidRDefault="00A77F07" w:rsidP="00892F14">
      <w:pPr>
        <w:jc w:val="both"/>
      </w:pPr>
      <w:r>
        <w:t>*</w:t>
      </w:r>
      <w:r>
        <w:tab/>
      </w:r>
      <w:r w:rsidRPr="00C15B76">
        <w:t>Kulüplerimize km başına 1</w:t>
      </w:r>
      <w:r>
        <w:t>,5 TL ödenecek olup, 20</w:t>
      </w:r>
      <w:r w:rsidRPr="00C15B76">
        <w:t>0 km ve üzerinde mesafe kat</w:t>
      </w:r>
      <w:r>
        <w:t xml:space="preserve"> </w:t>
      </w:r>
      <w:r w:rsidRPr="00C15B76">
        <w:t xml:space="preserve">edecek olan kulüplere günlük </w:t>
      </w:r>
      <w:r w:rsidR="00A32C88">
        <w:t>1500</w:t>
      </w:r>
      <w:r w:rsidR="00A32C88" w:rsidRPr="00C15B76">
        <w:t xml:space="preserve"> </w:t>
      </w:r>
      <w:r w:rsidRPr="00C15B76">
        <w:t xml:space="preserve">TL </w:t>
      </w:r>
      <w:r w:rsidR="00A32C88">
        <w:t xml:space="preserve">“Deplasman Katkı Payı” </w:t>
      </w:r>
      <w:r w:rsidRPr="00C15B76">
        <w:t xml:space="preserve">verilecektir. </w:t>
      </w:r>
      <w:r w:rsidR="00892F14">
        <w:t xml:space="preserve">Final müsabakalarında yer alma hakkı kazanan kulüplere 200 km. mesafe şartı aranmaksızın </w:t>
      </w:r>
      <w:r w:rsidR="00A32C88">
        <w:t xml:space="preserve">“Deplasman Katkı Payı” </w:t>
      </w:r>
      <w:r w:rsidR="00892F14">
        <w:t xml:space="preserve">verilecektir.    </w:t>
      </w:r>
    </w:p>
    <w:p w:rsidR="006F2132" w:rsidRDefault="006F2132" w:rsidP="006F2132">
      <w:pPr>
        <w:jc w:val="both"/>
      </w:pPr>
      <w:r>
        <w:t xml:space="preserve">* </w:t>
      </w:r>
      <w:r>
        <w:tab/>
        <w:t xml:space="preserve">Müsabakalarda görev yapacak personel ücretleri </w:t>
      </w:r>
      <w:r w:rsidR="0057644F">
        <w:t>2013</w:t>
      </w:r>
      <w:r>
        <w:t>-</w:t>
      </w:r>
      <w:r w:rsidR="0057644F">
        <w:t xml:space="preserve">2014 </w:t>
      </w:r>
      <w:r>
        <w:t xml:space="preserve">sezonu Amatör Ligler’de uygulanacak personel ücret esasları çerçevesinde ödenecektir. </w:t>
      </w:r>
    </w:p>
    <w:p w:rsidR="00A77F07" w:rsidRDefault="00A77F07" w:rsidP="00A77F07">
      <w:pPr>
        <w:jc w:val="both"/>
      </w:pPr>
      <w:r>
        <w:t>*</w:t>
      </w:r>
      <w:r>
        <w:tab/>
        <w:t>Müsabakaların oynanacağı bölgeler, müsabaka sistemi ve Türkiye Şampiyonası Final Organizasyonu takımların katılım durumuna göre belirlenecektir.</w:t>
      </w:r>
    </w:p>
    <w:p w:rsidR="002871C3" w:rsidRDefault="00330B62">
      <w:pPr>
        <w:jc w:val="both"/>
      </w:pPr>
      <w:r>
        <w:t xml:space="preserve">* </w:t>
      </w:r>
      <w:r>
        <w:tab/>
        <w:t>201</w:t>
      </w:r>
      <w:r w:rsidR="0057644F">
        <w:t>3</w:t>
      </w:r>
      <w:r>
        <w:t>-201</w:t>
      </w:r>
      <w:r w:rsidR="0057644F">
        <w:t>4</w:t>
      </w:r>
      <w:r>
        <w:t xml:space="preserve"> Sezonu’nda Kadınlar 1. ve 2. Ligi’nde yer alan kulüplerin Genç ve Yıldız Kızlar Türkiye Şampiyonaları’ndan en az birine katılımı zorunludur. </w:t>
      </w:r>
      <w:r w:rsidR="0057644F">
        <w:t>2014</w:t>
      </w:r>
      <w:r>
        <w:t>-</w:t>
      </w:r>
      <w:r w:rsidR="0057644F">
        <w:t xml:space="preserve">2015 </w:t>
      </w:r>
      <w:r>
        <w:t xml:space="preserve">Sezonunda Kadınlar </w:t>
      </w:r>
      <w:r w:rsidR="0057644F">
        <w:t>3</w:t>
      </w:r>
      <w:r>
        <w:t xml:space="preserve">. Ligi’ne </w:t>
      </w:r>
      <w:r>
        <w:lastRenderedPageBreak/>
        <w:t xml:space="preserve">yeni dahil olacak kulüplerin </w:t>
      </w:r>
      <w:r w:rsidR="0057644F">
        <w:t xml:space="preserve">2014 </w:t>
      </w:r>
      <w:r>
        <w:t>Yıldız</w:t>
      </w:r>
      <w:r w:rsidRPr="00DF6FF3">
        <w:t xml:space="preserve"> veya Genç</w:t>
      </w:r>
      <w:r>
        <w:t xml:space="preserve"> Kızlar Türkiye Şampiyonalarından</w:t>
      </w:r>
      <w:r w:rsidRPr="00DF6FF3">
        <w:t xml:space="preserve"> herhangi birine katılma</w:t>
      </w:r>
      <w:r>
        <w:t>ları zorunludur.</w:t>
      </w:r>
    </w:p>
    <w:p w:rsidR="002871C3" w:rsidRPr="009100C3" w:rsidRDefault="002871C3" w:rsidP="002871C3">
      <w:pPr>
        <w:jc w:val="both"/>
      </w:pPr>
      <w:r w:rsidRPr="009100C3">
        <w:t>*</w:t>
      </w:r>
      <w:r w:rsidRPr="009100C3">
        <w:tab/>
        <w:t xml:space="preserve">Kadınlar 1. ve 2. Ligleri, müsabakalarından kaynaklanan soyunma odası ve yedek kulübesine giriş yasağı, müsabakadan men ve kırmızı kart cezası bulunan kişilerin cezaları </w:t>
      </w:r>
      <w:r>
        <w:t>Genç Kızlar Türkiye Şampiyonası</w:t>
      </w:r>
      <w:r w:rsidRPr="009100C3">
        <w:t xml:space="preserve"> müsabakalarında infaz edilmeyecektir. </w:t>
      </w:r>
    </w:p>
    <w:p w:rsidR="002871C3" w:rsidRDefault="002871C3" w:rsidP="002871C3">
      <w:pPr>
        <w:jc w:val="both"/>
      </w:pPr>
      <w:r w:rsidRPr="009100C3">
        <w:t>*</w:t>
      </w:r>
      <w:r w:rsidRPr="009100C3">
        <w:tab/>
        <w:t xml:space="preserve">Müsabakalarda sarı kart takibi yapılmayacaktır. </w:t>
      </w:r>
      <w:r>
        <w:t>Genç Kızlar Türkiye Şampiyonası</w:t>
      </w:r>
      <w:r w:rsidRPr="009100C3">
        <w:t xml:space="preserve"> kapsamında </w:t>
      </w:r>
      <w:r w:rsidR="0079498F">
        <w:t>Amatör Futbol Disiplin</w:t>
      </w:r>
      <w:r w:rsidRPr="009100C3">
        <w:t xml:space="preserve"> Kurulları tarafından verilen cezalar ile kırmızı kart cezaları,  yalnızca </w:t>
      </w:r>
      <w:r>
        <w:t>Genç Kızlar Türkiye Şampiyonası</w:t>
      </w:r>
      <w:r w:rsidRPr="009100C3">
        <w:t xml:space="preserve"> infaz edilecektir. </w:t>
      </w:r>
      <w:r>
        <w:t>Genç Kızlar Türkiye Şampiyonası</w:t>
      </w:r>
      <w:r w:rsidRPr="009100C3">
        <w:t xml:space="preserve"> müsabakaları sonunda infazı tamamlanmayan kırmızı kart, müsabakadan men ve soyunma odası ve yedek kulübesine giriş yasağı cezaları, oyuncu uygunluğunun bulunduğu </w:t>
      </w:r>
      <w:r>
        <w:t>diğer kategorilerde</w:t>
      </w:r>
      <w:r w:rsidRPr="009100C3">
        <w:t xml:space="preserve"> infaz edilebilir.</w:t>
      </w:r>
      <w:r>
        <w:t xml:space="preserve"> </w:t>
      </w:r>
    </w:p>
    <w:p w:rsidR="00337839" w:rsidRDefault="00605265">
      <w:pPr>
        <w:jc w:val="both"/>
      </w:pPr>
      <w:r w:rsidDel="00605265">
        <w:t xml:space="preserve"> </w:t>
      </w:r>
      <w:r w:rsidR="005258DC">
        <w:t xml:space="preserve">* </w:t>
      </w:r>
      <w:r w:rsidR="005258DC">
        <w:tab/>
      </w:r>
      <w:r w:rsidR="003E4329">
        <w:t>Genel esaslarda belirtilmeyen hususlarla ilgili olarak karar verme yetkisi TFF'ye aittir.</w:t>
      </w:r>
    </w:p>
    <w:p w:rsidR="00980333" w:rsidRDefault="00A77F07" w:rsidP="00DC2AF6">
      <w:pPr>
        <w:jc w:val="both"/>
      </w:pPr>
      <w:r>
        <w:t>*</w:t>
      </w:r>
      <w:r>
        <w:tab/>
      </w:r>
      <w:r w:rsidRPr="00C15B76">
        <w:t>Şampiyonaya katılan tüm takımlarımıza başarılar dileriz.</w:t>
      </w:r>
      <w:r w:rsidR="00DC2AF6">
        <w:tab/>
      </w:r>
    </w:p>
    <w:p w:rsidR="008A7453" w:rsidRDefault="008A7453" w:rsidP="00211853">
      <w:pPr>
        <w:spacing w:after="0" w:line="240" w:lineRule="auto"/>
        <w:jc w:val="both"/>
        <w:rPr>
          <w:sz w:val="24"/>
        </w:rPr>
      </w:pPr>
    </w:p>
    <w:p w:rsidR="00211853" w:rsidRDefault="00211853" w:rsidP="00211853">
      <w:pPr>
        <w:spacing w:after="0" w:line="240" w:lineRule="auto"/>
        <w:jc w:val="both"/>
      </w:pPr>
      <w:r>
        <w:t xml:space="preserve">Her iki şampiyonanın genel esasları, </w:t>
      </w:r>
      <w:r w:rsidRPr="00211853">
        <w:t xml:space="preserve">TFF Yönetim Kurulu’nun </w:t>
      </w:r>
      <w:r w:rsidR="00B93897" w:rsidRPr="00B93897">
        <w:t>16</w:t>
      </w:r>
      <w:r w:rsidR="00155BE9" w:rsidRPr="00B93897">
        <w:t>.05.201</w:t>
      </w:r>
      <w:r w:rsidR="00364026">
        <w:t>4</w:t>
      </w:r>
      <w:r w:rsidRPr="00B93897">
        <w:t xml:space="preserve"> tarih ve </w:t>
      </w:r>
      <w:r w:rsidR="00B93897" w:rsidRPr="00B93897">
        <w:t xml:space="preserve">44 </w:t>
      </w:r>
      <w:r w:rsidRPr="00B93897">
        <w:t xml:space="preserve">sayılı toplantısında kabul edilmiş ve </w:t>
      </w:r>
      <w:r w:rsidR="00796ABE">
        <w:t>20</w:t>
      </w:r>
      <w:r w:rsidR="00155BE9" w:rsidRPr="00B93897">
        <w:t>.05.201</w:t>
      </w:r>
      <w:r w:rsidR="00364026">
        <w:t>4</w:t>
      </w:r>
      <w:r w:rsidRPr="00B93897">
        <w:t xml:space="preserve"> tarihinde TFF’nin</w:t>
      </w:r>
      <w:r w:rsidRPr="00211853">
        <w:t xml:space="preserve"> resmi web sitesi olan www.tff.org adresinde</w:t>
      </w:r>
      <w:r>
        <w:t xml:space="preserve"> yayım</w:t>
      </w:r>
      <w:r w:rsidRPr="00211853">
        <w:t>lanarak yürürlüğe girmiştir.</w:t>
      </w:r>
    </w:p>
    <w:p w:rsidR="00980333" w:rsidRDefault="00BE2407" w:rsidP="00211853">
      <w:pPr>
        <w:spacing w:after="0" w:line="240" w:lineRule="auto"/>
        <w:jc w:val="both"/>
        <w:rPr>
          <w:sz w:val="24"/>
        </w:rPr>
      </w:pPr>
      <w:r>
        <w:rPr>
          <w:sz w:val="24"/>
        </w:rPr>
        <w:br w:type="page"/>
      </w:r>
      <w:r w:rsidR="00A369EB" w:rsidRPr="002B2233">
        <w:rPr>
          <w:sz w:val="24"/>
        </w:rPr>
        <w:lastRenderedPageBreak/>
        <w:t xml:space="preserve">EK </w:t>
      </w:r>
      <w:r w:rsidR="00980333" w:rsidRPr="002B2233">
        <w:rPr>
          <w:sz w:val="24"/>
        </w:rPr>
        <w:t xml:space="preserve">– </w:t>
      </w:r>
      <w:r w:rsidR="009A041D">
        <w:rPr>
          <w:sz w:val="24"/>
        </w:rPr>
        <w:t>1</w:t>
      </w:r>
    </w:p>
    <w:p w:rsidR="00980333" w:rsidRDefault="00980333" w:rsidP="00980333">
      <w:pPr>
        <w:spacing w:after="0" w:line="240" w:lineRule="auto"/>
        <w:jc w:val="center"/>
        <w:rPr>
          <w:b/>
          <w:bCs/>
          <w:szCs w:val="24"/>
          <w:lang w:eastAsia="tr-TR"/>
        </w:rPr>
      </w:pPr>
    </w:p>
    <w:p w:rsidR="00980333" w:rsidRPr="00E71DBA" w:rsidRDefault="00980333" w:rsidP="00980333">
      <w:pPr>
        <w:spacing w:after="0" w:line="240" w:lineRule="auto"/>
        <w:jc w:val="center"/>
        <w:rPr>
          <w:b/>
          <w:bCs/>
          <w:szCs w:val="24"/>
          <w:lang w:eastAsia="tr-TR"/>
        </w:rPr>
      </w:pPr>
      <w:r>
        <w:rPr>
          <w:b/>
          <w:bCs/>
          <w:szCs w:val="24"/>
          <w:lang w:eastAsia="tr-TR"/>
        </w:rPr>
        <w:t xml:space="preserve"> </w:t>
      </w:r>
      <w:r w:rsidR="0057644F">
        <w:rPr>
          <w:b/>
          <w:bCs/>
          <w:szCs w:val="24"/>
          <w:lang w:eastAsia="tr-TR"/>
        </w:rPr>
        <w:t xml:space="preserve">2014 </w:t>
      </w:r>
      <w:r w:rsidRPr="00E71DBA">
        <w:rPr>
          <w:b/>
          <w:bCs/>
          <w:szCs w:val="24"/>
          <w:lang w:eastAsia="tr-TR"/>
        </w:rPr>
        <w:t>YILDIZ KIZLAR TÜRKİYE ŞAMPİYONASI OYUNCU İSİM LİSTESİ</w:t>
      </w:r>
    </w:p>
    <w:p w:rsidR="00980333" w:rsidRDefault="00980333" w:rsidP="00980333">
      <w:pPr>
        <w:ind w:right="281"/>
        <w:rPr>
          <w:b/>
          <w:bCs/>
          <w:szCs w:val="24"/>
          <w:lang w:eastAsia="tr-TR"/>
        </w:rPr>
      </w:pPr>
    </w:p>
    <w:p w:rsidR="00980333" w:rsidRDefault="00980333" w:rsidP="00216C1E">
      <w:pPr>
        <w:pStyle w:val="AralkYok"/>
        <w:rPr>
          <w:lang w:eastAsia="tr-TR"/>
        </w:rPr>
      </w:pPr>
      <w:r>
        <w:rPr>
          <w:lang w:eastAsia="tr-TR"/>
        </w:rPr>
        <w:t>Kulüp</w:t>
      </w:r>
      <w:r w:rsidRPr="00E71DBA">
        <w:rPr>
          <w:lang w:eastAsia="tr-TR"/>
        </w:rPr>
        <w:t xml:space="preserve"> Adı : …………………………………………………………………………………………………………....</w:t>
      </w:r>
      <w:r>
        <w:rPr>
          <w:lang w:eastAsia="tr-TR"/>
        </w:rPr>
        <w:t>........</w:t>
      </w:r>
    </w:p>
    <w:p w:rsidR="00980333" w:rsidRPr="00E71DBA" w:rsidRDefault="00980333" w:rsidP="00980333">
      <w:pPr>
        <w:ind w:left="340" w:right="281"/>
        <w:rPr>
          <w:b/>
          <w:bCs/>
          <w:szCs w:val="24"/>
          <w:lang w:eastAsia="tr-TR"/>
        </w:rPr>
      </w:pPr>
    </w:p>
    <w:tbl>
      <w:tblPr>
        <w:tblW w:w="9516" w:type="dxa"/>
        <w:jc w:val="center"/>
        <w:tblInd w:w="14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9"/>
        <w:gridCol w:w="2450"/>
        <w:gridCol w:w="2332"/>
        <w:gridCol w:w="2126"/>
        <w:gridCol w:w="1469"/>
      </w:tblGrid>
      <w:tr w:rsidR="00862C9E" w:rsidRPr="00E71DBA" w:rsidTr="0003220E">
        <w:trPr>
          <w:trHeight w:val="283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6200F5" w:rsidP="006200F5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>No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 xml:space="preserve">Lisans Numarası 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>Adı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Soyadı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>Doğum Tarihi</w:t>
            </w:r>
          </w:p>
        </w:tc>
      </w:tr>
      <w:tr w:rsidR="00862C9E" w:rsidRPr="00E71DBA" w:rsidTr="0003220E">
        <w:trPr>
          <w:trHeight w:val="283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</w:p>
        </w:tc>
      </w:tr>
      <w:tr w:rsidR="00862C9E" w:rsidRPr="00E71DBA" w:rsidTr="0003220E">
        <w:trPr>
          <w:trHeight w:val="283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</w:p>
        </w:tc>
      </w:tr>
      <w:tr w:rsidR="00862C9E" w:rsidRPr="00E71DBA" w:rsidTr="0003220E">
        <w:trPr>
          <w:trHeight w:val="283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</w:p>
        </w:tc>
      </w:tr>
      <w:tr w:rsidR="00862C9E" w:rsidRPr="00E71DBA" w:rsidTr="0003220E">
        <w:trPr>
          <w:trHeight w:val="283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</w:p>
        </w:tc>
      </w:tr>
      <w:tr w:rsidR="00862C9E" w:rsidRPr="00E71DBA" w:rsidTr="0003220E">
        <w:trPr>
          <w:trHeight w:val="283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</w:p>
        </w:tc>
      </w:tr>
      <w:tr w:rsidR="00862C9E" w:rsidRPr="00E71DBA" w:rsidTr="0003220E">
        <w:trPr>
          <w:trHeight w:val="283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</w:p>
        </w:tc>
      </w:tr>
      <w:tr w:rsidR="00862C9E" w:rsidRPr="00E71DBA" w:rsidTr="0003220E">
        <w:trPr>
          <w:trHeight w:val="283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</w:p>
        </w:tc>
      </w:tr>
      <w:tr w:rsidR="00862C9E" w:rsidRPr="00E71DBA" w:rsidTr="0003220E">
        <w:trPr>
          <w:trHeight w:val="283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</w:p>
        </w:tc>
      </w:tr>
      <w:tr w:rsidR="00862C9E" w:rsidRPr="00E71DBA" w:rsidTr="0003220E">
        <w:trPr>
          <w:trHeight w:val="283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</w:p>
        </w:tc>
      </w:tr>
      <w:tr w:rsidR="00862C9E" w:rsidRPr="00E71DBA" w:rsidTr="0003220E">
        <w:trPr>
          <w:trHeight w:val="283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10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</w:p>
        </w:tc>
      </w:tr>
      <w:tr w:rsidR="00862C9E" w:rsidRPr="00E71DBA" w:rsidTr="0003220E">
        <w:trPr>
          <w:trHeight w:val="283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11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</w:p>
        </w:tc>
      </w:tr>
      <w:tr w:rsidR="00862C9E" w:rsidRPr="00E71DBA" w:rsidTr="0003220E">
        <w:trPr>
          <w:trHeight w:val="283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12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</w:p>
        </w:tc>
      </w:tr>
      <w:tr w:rsidR="00862C9E" w:rsidRPr="00E71DBA" w:rsidTr="0003220E">
        <w:trPr>
          <w:trHeight w:val="283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13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</w:p>
        </w:tc>
      </w:tr>
      <w:tr w:rsidR="00862C9E" w:rsidRPr="00E71DBA" w:rsidTr="0003220E">
        <w:trPr>
          <w:trHeight w:val="283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14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</w:p>
        </w:tc>
      </w:tr>
      <w:tr w:rsidR="00862C9E" w:rsidRPr="00E71DBA" w:rsidTr="0003220E">
        <w:trPr>
          <w:trHeight w:val="283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15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</w:p>
        </w:tc>
      </w:tr>
      <w:tr w:rsidR="00862C9E" w:rsidRPr="00E71DBA" w:rsidTr="0003220E">
        <w:trPr>
          <w:trHeight w:val="283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16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</w:p>
        </w:tc>
      </w:tr>
      <w:tr w:rsidR="00862C9E" w:rsidRPr="00E71DBA" w:rsidTr="0003220E">
        <w:trPr>
          <w:trHeight w:val="283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17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</w:p>
        </w:tc>
      </w:tr>
      <w:tr w:rsidR="00862C9E" w:rsidRPr="00E71DBA" w:rsidTr="0003220E">
        <w:trPr>
          <w:trHeight w:val="283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18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</w:p>
        </w:tc>
      </w:tr>
      <w:tr w:rsidR="00862C9E" w:rsidRPr="00E71DBA" w:rsidTr="0003220E">
        <w:trPr>
          <w:trHeight w:val="283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19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</w:p>
        </w:tc>
      </w:tr>
      <w:tr w:rsidR="00862C9E" w:rsidRPr="00E71DBA" w:rsidTr="0003220E">
        <w:trPr>
          <w:trHeight w:val="283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20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</w:p>
        </w:tc>
      </w:tr>
      <w:tr w:rsidR="00862C9E" w:rsidRPr="00E71DBA" w:rsidTr="0003220E">
        <w:trPr>
          <w:trHeight w:val="283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21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</w:p>
        </w:tc>
      </w:tr>
      <w:tr w:rsidR="00862C9E" w:rsidRPr="00E71DBA" w:rsidTr="0003220E">
        <w:trPr>
          <w:trHeight w:val="283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22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C9E" w:rsidRPr="00E71DBA" w:rsidRDefault="00862C9E" w:rsidP="00216C1E">
            <w:pPr>
              <w:pStyle w:val="AralkYok"/>
              <w:rPr>
                <w:lang w:eastAsia="tr-TR"/>
              </w:rPr>
            </w:pPr>
          </w:p>
        </w:tc>
      </w:tr>
    </w:tbl>
    <w:tbl>
      <w:tblPr>
        <w:tblpPr w:leftFromText="141" w:rightFromText="141" w:vertAnchor="text" w:horzAnchor="margin" w:tblpXSpec="center" w:tblpY="43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127"/>
        <w:gridCol w:w="1735"/>
        <w:gridCol w:w="1808"/>
        <w:gridCol w:w="1843"/>
      </w:tblGrid>
      <w:tr w:rsidR="00216C1E" w:rsidRPr="00332002" w:rsidTr="00216C1E">
        <w:tc>
          <w:tcPr>
            <w:tcW w:w="4503" w:type="dxa"/>
            <w:gridSpan w:val="2"/>
            <w:vAlign w:val="center"/>
          </w:tcPr>
          <w:p w:rsidR="00216C1E" w:rsidRPr="00332002" w:rsidRDefault="00216C1E" w:rsidP="00216C1E">
            <w:pPr>
              <w:pStyle w:val="AralkYok"/>
            </w:pPr>
            <w:r>
              <w:t>Kulüp</w:t>
            </w:r>
          </w:p>
        </w:tc>
        <w:tc>
          <w:tcPr>
            <w:tcW w:w="1735" w:type="dxa"/>
            <w:vAlign w:val="center"/>
          </w:tcPr>
          <w:p w:rsidR="00216C1E" w:rsidRPr="00332002" w:rsidRDefault="00216C1E" w:rsidP="00216C1E">
            <w:pPr>
              <w:pStyle w:val="AralkYok"/>
            </w:pPr>
            <w:r>
              <w:t>Telefon</w:t>
            </w:r>
          </w:p>
        </w:tc>
        <w:tc>
          <w:tcPr>
            <w:tcW w:w="1808" w:type="dxa"/>
            <w:vAlign w:val="center"/>
          </w:tcPr>
          <w:p w:rsidR="00216C1E" w:rsidRPr="00332002" w:rsidRDefault="00216C1E" w:rsidP="00216C1E">
            <w:pPr>
              <w:pStyle w:val="AralkYok"/>
            </w:pPr>
            <w:r>
              <w:t>Faks</w:t>
            </w:r>
          </w:p>
        </w:tc>
        <w:tc>
          <w:tcPr>
            <w:tcW w:w="1843" w:type="dxa"/>
            <w:vAlign w:val="center"/>
          </w:tcPr>
          <w:p w:rsidR="00216C1E" w:rsidRPr="00332002" w:rsidRDefault="00216C1E" w:rsidP="00216C1E">
            <w:pPr>
              <w:pStyle w:val="AralkYok"/>
            </w:pPr>
            <w:r>
              <w:t>E-mail</w:t>
            </w:r>
          </w:p>
        </w:tc>
      </w:tr>
      <w:tr w:rsidR="00216C1E" w:rsidRPr="00332002" w:rsidTr="00216C1E">
        <w:tc>
          <w:tcPr>
            <w:tcW w:w="4503" w:type="dxa"/>
            <w:gridSpan w:val="2"/>
            <w:vAlign w:val="center"/>
          </w:tcPr>
          <w:p w:rsidR="00216C1E" w:rsidRPr="00332002" w:rsidRDefault="00216C1E" w:rsidP="00216C1E">
            <w:pPr>
              <w:pStyle w:val="AralkYok"/>
            </w:pPr>
          </w:p>
        </w:tc>
        <w:tc>
          <w:tcPr>
            <w:tcW w:w="1735" w:type="dxa"/>
            <w:vAlign w:val="center"/>
          </w:tcPr>
          <w:p w:rsidR="00216C1E" w:rsidRPr="00332002" w:rsidRDefault="00216C1E" w:rsidP="00216C1E">
            <w:pPr>
              <w:pStyle w:val="AralkYok"/>
            </w:pPr>
          </w:p>
        </w:tc>
        <w:tc>
          <w:tcPr>
            <w:tcW w:w="1808" w:type="dxa"/>
            <w:vAlign w:val="center"/>
          </w:tcPr>
          <w:p w:rsidR="00216C1E" w:rsidRPr="00332002" w:rsidRDefault="00216C1E" w:rsidP="00216C1E">
            <w:pPr>
              <w:pStyle w:val="AralkYok"/>
            </w:pPr>
          </w:p>
        </w:tc>
        <w:tc>
          <w:tcPr>
            <w:tcW w:w="1843" w:type="dxa"/>
            <w:vAlign w:val="center"/>
          </w:tcPr>
          <w:p w:rsidR="00216C1E" w:rsidRPr="00332002" w:rsidRDefault="00216C1E" w:rsidP="00216C1E">
            <w:pPr>
              <w:pStyle w:val="AralkYok"/>
            </w:pPr>
          </w:p>
        </w:tc>
      </w:tr>
      <w:tr w:rsidR="00216C1E" w:rsidRPr="00332002" w:rsidTr="00216C1E">
        <w:trPr>
          <w:trHeight w:val="788"/>
        </w:trPr>
        <w:tc>
          <w:tcPr>
            <w:tcW w:w="2376" w:type="dxa"/>
            <w:vAlign w:val="center"/>
          </w:tcPr>
          <w:p w:rsidR="00216C1E" w:rsidRPr="00B81BFF" w:rsidRDefault="00216C1E" w:rsidP="00216C1E">
            <w:pPr>
              <w:pStyle w:val="AralkYok"/>
            </w:pPr>
            <w:r w:rsidRPr="00B81BFF">
              <w:t>Başkan</w:t>
            </w:r>
          </w:p>
          <w:p w:rsidR="00216C1E" w:rsidRPr="00B81BFF" w:rsidRDefault="00216C1E" w:rsidP="00216C1E">
            <w:pPr>
              <w:pStyle w:val="AralkYok"/>
            </w:pPr>
            <w:r w:rsidRPr="00B81BFF">
              <w:t>Adı Soyadı</w:t>
            </w:r>
          </w:p>
        </w:tc>
        <w:tc>
          <w:tcPr>
            <w:tcW w:w="2127" w:type="dxa"/>
            <w:vAlign w:val="center"/>
          </w:tcPr>
          <w:p w:rsidR="00216C1E" w:rsidRPr="00332002" w:rsidRDefault="00216C1E" w:rsidP="00216C1E">
            <w:pPr>
              <w:pStyle w:val="AralkYok"/>
            </w:pPr>
          </w:p>
        </w:tc>
        <w:tc>
          <w:tcPr>
            <w:tcW w:w="1735" w:type="dxa"/>
            <w:vAlign w:val="center"/>
          </w:tcPr>
          <w:p w:rsidR="00216C1E" w:rsidRPr="00332002" w:rsidRDefault="00216C1E" w:rsidP="00216C1E">
            <w:pPr>
              <w:pStyle w:val="AralkYok"/>
            </w:pPr>
          </w:p>
        </w:tc>
        <w:tc>
          <w:tcPr>
            <w:tcW w:w="1808" w:type="dxa"/>
            <w:vAlign w:val="center"/>
          </w:tcPr>
          <w:p w:rsidR="00216C1E" w:rsidRPr="00332002" w:rsidRDefault="00216C1E" w:rsidP="00216C1E">
            <w:pPr>
              <w:pStyle w:val="AralkYok"/>
            </w:pPr>
          </w:p>
        </w:tc>
        <w:tc>
          <w:tcPr>
            <w:tcW w:w="1843" w:type="dxa"/>
            <w:vAlign w:val="center"/>
          </w:tcPr>
          <w:p w:rsidR="00216C1E" w:rsidRPr="00332002" w:rsidRDefault="00216C1E" w:rsidP="00216C1E">
            <w:pPr>
              <w:pStyle w:val="AralkYok"/>
            </w:pPr>
          </w:p>
        </w:tc>
      </w:tr>
      <w:tr w:rsidR="00216C1E" w:rsidRPr="00332002" w:rsidTr="00216C1E">
        <w:tc>
          <w:tcPr>
            <w:tcW w:w="2376" w:type="dxa"/>
            <w:vAlign w:val="center"/>
          </w:tcPr>
          <w:p w:rsidR="00216C1E" w:rsidRPr="00B81BFF" w:rsidRDefault="00216C1E" w:rsidP="00216C1E">
            <w:pPr>
              <w:pStyle w:val="AralkYok"/>
            </w:pPr>
            <w:r w:rsidRPr="00B81BFF">
              <w:t>İdari Sorumlu</w:t>
            </w:r>
          </w:p>
          <w:p w:rsidR="00216C1E" w:rsidRPr="00B81BFF" w:rsidRDefault="00216C1E" w:rsidP="00216C1E">
            <w:pPr>
              <w:pStyle w:val="AralkYok"/>
            </w:pPr>
            <w:r w:rsidRPr="00B81BFF">
              <w:t>Adı Soyadı</w:t>
            </w:r>
          </w:p>
        </w:tc>
        <w:tc>
          <w:tcPr>
            <w:tcW w:w="2127" w:type="dxa"/>
            <w:vAlign w:val="center"/>
          </w:tcPr>
          <w:p w:rsidR="00216C1E" w:rsidRPr="00332002" w:rsidRDefault="00216C1E" w:rsidP="00216C1E">
            <w:pPr>
              <w:pStyle w:val="AralkYok"/>
            </w:pPr>
          </w:p>
        </w:tc>
        <w:tc>
          <w:tcPr>
            <w:tcW w:w="1735" w:type="dxa"/>
            <w:vAlign w:val="center"/>
          </w:tcPr>
          <w:p w:rsidR="00216C1E" w:rsidRPr="00332002" w:rsidRDefault="00216C1E" w:rsidP="00216C1E">
            <w:pPr>
              <w:pStyle w:val="AralkYok"/>
            </w:pPr>
          </w:p>
        </w:tc>
        <w:tc>
          <w:tcPr>
            <w:tcW w:w="1808" w:type="dxa"/>
            <w:vAlign w:val="center"/>
          </w:tcPr>
          <w:p w:rsidR="00216C1E" w:rsidRPr="00332002" w:rsidRDefault="00216C1E" w:rsidP="00216C1E">
            <w:pPr>
              <w:pStyle w:val="AralkYok"/>
            </w:pPr>
          </w:p>
        </w:tc>
        <w:tc>
          <w:tcPr>
            <w:tcW w:w="1843" w:type="dxa"/>
            <w:vAlign w:val="center"/>
          </w:tcPr>
          <w:p w:rsidR="00216C1E" w:rsidRPr="00332002" w:rsidRDefault="00216C1E" w:rsidP="00216C1E">
            <w:pPr>
              <w:pStyle w:val="AralkYok"/>
            </w:pPr>
          </w:p>
        </w:tc>
      </w:tr>
      <w:tr w:rsidR="00216C1E" w:rsidRPr="00332002" w:rsidTr="00216C1E">
        <w:tc>
          <w:tcPr>
            <w:tcW w:w="2376" w:type="dxa"/>
            <w:vAlign w:val="center"/>
          </w:tcPr>
          <w:p w:rsidR="00216C1E" w:rsidRPr="00B81BFF" w:rsidRDefault="00216C1E" w:rsidP="00216C1E">
            <w:pPr>
              <w:pStyle w:val="AralkYok"/>
            </w:pPr>
            <w:r w:rsidRPr="00B81BFF">
              <w:t xml:space="preserve">Teknik Sorumlu </w:t>
            </w:r>
          </w:p>
          <w:p w:rsidR="00216C1E" w:rsidRPr="00B81BFF" w:rsidRDefault="00216C1E" w:rsidP="00216C1E">
            <w:pPr>
              <w:pStyle w:val="AralkYok"/>
            </w:pPr>
            <w:r w:rsidRPr="00B81BFF">
              <w:t>Adı Soyadı</w:t>
            </w:r>
          </w:p>
        </w:tc>
        <w:tc>
          <w:tcPr>
            <w:tcW w:w="2127" w:type="dxa"/>
            <w:vAlign w:val="center"/>
          </w:tcPr>
          <w:p w:rsidR="00216C1E" w:rsidRPr="00332002" w:rsidRDefault="00216C1E" w:rsidP="00216C1E">
            <w:pPr>
              <w:pStyle w:val="AralkYok"/>
            </w:pPr>
          </w:p>
        </w:tc>
        <w:tc>
          <w:tcPr>
            <w:tcW w:w="1735" w:type="dxa"/>
            <w:vAlign w:val="center"/>
          </w:tcPr>
          <w:p w:rsidR="00216C1E" w:rsidRPr="00332002" w:rsidRDefault="00216C1E" w:rsidP="00216C1E">
            <w:pPr>
              <w:pStyle w:val="AralkYok"/>
            </w:pPr>
          </w:p>
        </w:tc>
        <w:tc>
          <w:tcPr>
            <w:tcW w:w="1808" w:type="dxa"/>
            <w:vAlign w:val="center"/>
          </w:tcPr>
          <w:p w:rsidR="00216C1E" w:rsidRPr="00332002" w:rsidRDefault="00216C1E" w:rsidP="00216C1E">
            <w:pPr>
              <w:pStyle w:val="AralkYok"/>
            </w:pPr>
          </w:p>
        </w:tc>
        <w:tc>
          <w:tcPr>
            <w:tcW w:w="1843" w:type="dxa"/>
            <w:vAlign w:val="center"/>
          </w:tcPr>
          <w:p w:rsidR="00216C1E" w:rsidRPr="00332002" w:rsidRDefault="00216C1E" w:rsidP="00216C1E">
            <w:pPr>
              <w:pStyle w:val="AralkYok"/>
            </w:pPr>
          </w:p>
        </w:tc>
      </w:tr>
    </w:tbl>
    <w:p w:rsidR="00980333" w:rsidRDefault="00980333" w:rsidP="00980333">
      <w:pPr>
        <w:ind w:left="340" w:right="281"/>
        <w:rPr>
          <w:szCs w:val="24"/>
          <w:lang w:eastAsia="tr-TR"/>
        </w:rPr>
      </w:pPr>
      <w:r w:rsidRPr="00E71DBA">
        <w:rPr>
          <w:szCs w:val="24"/>
          <w:lang w:eastAsia="tr-TR"/>
        </w:rPr>
        <w:tab/>
      </w:r>
      <w:r w:rsidRPr="00E71DBA">
        <w:rPr>
          <w:szCs w:val="24"/>
          <w:lang w:eastAsia="tr-TR"/>
        </w:rPr>
        <w:tab/>
      </w:r>
      <w:r w:rsidRPr="00E71DBA">
        <w:rPr>
          <w:szCs w:val="24"/>
          <w:lang w:eastAsia="tr-TR"/>
        </w:rPr>
        <w:tab/>
      </w:r>
      <w:r w:rsidRPr="00E71DBA">
        <w:rPr>
          <w:szCs w:val="24"/>
          <w:lang w:eastAsia="tr-TR"/>
        </w:rPr>
        <w:tab/>
      </w:r>
      <w:r>
        <w:rPr>
          <w:szCs w:val="24"/>
          <w:lang w:eastAsia="tr-TR"/>
        </w:rPr>
        <w:tab/>
      </w:r>
      <w:r>
        <w:rPr>
          <w:szCs w:val="24"/>
          <w:lang w:eastAsia="tr-TR"/>
        </w:rPr>
        <w:tab/>
      </w:r>
      <w:r>
        <w:rPr>
          <w:szCs w:val="24"/>
          <w:lang w:eastAsia="tr-TR"/>
        </w:rPr>
        <w:tab/>
      </w:r>
      <w:r>
        <w:rPr>
          <w:szCs w:val="24"/>
          <w:lang w:eastAsia="tr-TR"/>
        </w:rPr>
        <w:tab/>
      </w:r>
    </w:p>
    <w:p w:rsidR="00980333" w:rsidRDefault="00980333" w:rsidP="00980333">
      <w:pPr>
        <w:ind w:left="340" w:right="281"/>
        <w:rPr>
          <w:szCs w:val="24"/>
          <w:lang w:eastAsia="tr-TR"/>
        </w:rPr>
      </w:pPr>
      <w:r>
        <w:rPr>
          <w:szCs w:val="24"/>
          <w:lang w:eastAsia="tr-TR"/>
        </w:rPr>
        <w:tab/>
      </w:r>
      <w:r>
        <w:rPr>
          <w:szCs w:val="24"/>
          <w:lang w:eastAsia="tr-TR"/>
        </w:rPr>
        <w:tab/>
      </w:r>
      <w:r>
        <w:rPr>
          <w:szCs w:val="24"/>
          <w:lang w:eastAsia="tr-TR"/>
        </w:rPr>
        <w:tab/>
      </w:r>
      <w:r>
        <w:rPr>
          <w:szCs w:val="24"/>
          <w:lang w:eastAsia="tr-TR"/>
        </w:rPr>
        <w:tab/>
      </w:r>
      <w:r>
        <w:rPr>
          <w:szCs w:val="24"/>
          <w:lang w:eastAsia="tr-TR"/>
        </w:rPr>
        <w:tab/>
      </w:r>
      <w:r>
        <w:rPr>
          <w:szCs w:val="24"/>
          <w:lang w:eastAsia="tr-TR"/>
        </w:rPr>
        <w:tab/>
      </w:r>
      <w:r>
        <w:rPr>
          <w:szCs w:val="24"/>
          <w:lang w:eastAsia="tr-TR"/>
        </w:rPr>
        <w:tab/>
      </w:r>
      <w:r>
        <w:rPr>
          <w:szCs w:val="24"/>
          <w:lang w:eastAsia="tr-TR"/>
        </w:rPr>
        <w:tab/>
      </w:r>
      <w:r>
        <w:rPr>
          <w:szCs w:val="24"/>
          <w:lang w:eastAsia="tr-TR"/>
        </w:rPr>
        <w:tab/>
      </w:r>
    </w:p>
    <w:p w:rsidR="00980333" w:rsidRPr="00E71DBA" w:rsidRDefault="00980333" w:rsidP="00980333">
      <w:pPr>
        <w:ind w:left="340" w:right="281"/>
        <w:rPr>
          <w:b/>
          <w:bCs/>
          <w:szCs w:val="24"/>
          <w:lang w:eastAsia="tr-TR"/>
        </w:rPr>
      </w:pPr>
      <w:r>
        <w:rPr>
          <w:szCs w:val="24"/>
          <w:lang w:eastAsia="tr-TR"/>
        </w:rPr>
        <w:tab/>
      </w:r>
      <w:r>
        <w:rPr>
          <w:szCs w:val="24"/>
          <w:lang w:eastAsia="tr-TR"/>
        </w:rPr>
        <w:tab/>
      </w:r>
      <w:r>
        <w:rPr>
          <w:szCs w:val="24"/>
          <w:lang w:eastAsia="tr-TR"/>
        </w:rPr>
        <w:tab/>
      </w:r>
      <w:r>
        <w:rPr>
          <w:szCs w:val="24"/>
          <w:lang w:eastAsia="tr-TR"/>
        </w:rPr>
        <w:tab/>
      </w:r>
      <w:r>
        <w:rPr>
          <w:szCs w:val="24"/>
          <w:lang w:eastAsia="tr-TR"/>
        </w:rPr>
        <w:tab/>
      </w:r>
      <w:r>
        <w:rPr>
          <w:szCs w:val="24"/>
          <w:lang w:eastAsia="tr-TR"/>
        </w:rPr>
        <w:tab/>
      </w:r>
      <w:r>
        <w:rPr>
          <w:szCs w:val="24"/>
          <w:lang w:eastAsia="tr-TR"/>
        </w:rPr>
        <w:tab/>
      </w:r>
      <w:r>
        <w:rPr>
          <w:szCs w:val="24"/>
          <w:lang w:eastAsia="tr-TR"/>
        </w:rPr>
        <w:tab/>
      </w:r>
      <w:r>
        <w:rPr>
          <w:szCs w:val="24"/>
          <w:lang w:eastAsia="tr-TR"/>
        </w:rPr>
        <w:tab/>
      </w:r>
      <w:r w:rsidRPr="00E71DBA">
        <w:rPr>
          <w:b/>
          <w:szCs w:val="24"/>
          <w:lang w:eastAsia="tr-TR"/>
        </w:rPr>
        <w:t>İmza- Mühür - Tarih</w:t>
      </w:r>
    </w:p>
    <w:p w:rsidR="00240F62" w:rsidRDefault="00240F62">
      <w:pPr>
        <w:spacing w:after="0" w:line="240" w:lineRule="auto"/>
        <w:rPr>
          <w:sz w:val="24"/>
        </w:rPr>
      </w:pPr>
    </w:p>
    <w:p w:rsidR="00240F62" w:rsidRDefault="00240F62">
      <w:pPr>
        <w:spacing w:after="0" w:line="240" w:lineRule="auto"/>
        <w:rPr>
          <w:sz w:val="24"/>
        </w:rPr>
      </w:pPr>
    </w:p>
    <w:p w:rsidR="00240F62" w:rsidRDefault="00240F62">
      <w:pPr>
        <w:spacing w:after="0" w:line="240" w:lineRule="auto"/>
        <w:rPr>
          <w:sz w:val="24"/>
        </w:rPr>
      </w:pPr>
    </w:p>
    <w:p w:rsidR="00A369EB" w:rsidRDefault="00A369EB" w:rsidP="00216C1E">
      <w:pPr>
        <w:spacing w:after="0" w:line="240" w:lineRule="auto"/>
        <w:jc w:val="center"/>
        <w:rPr>
          <w:sz w:val="24"/>
        </w:rPr>
      </w:pPr>
    </w:p>
    <w:p w:rsidR="00240F62" w:rsidRDefault="00A369EB">
      <w:pPr>
        <w:spacing w:after="0" w:line="240" w:lineRule="auto"/>
        <w:rPr>
          <w:sz w:val="24"/>
        </w:rPr>
      </w:pPr>
      <w:r w:rsidRPr="002B2233">
        <w:rPr>
          <w:sz w:val="24"/>
        </w:rPr>
        <w:lastRenderedPageBreak/>
        <w:t>EK</w:t>
      </w:r>
      <w:r w:rsidR="00216C1E" w:rsidRPr="002B2233">
        <w:rPr>
          <w:sz w:val="24"/>
        </w:rPr>
        <w:t xml:space="preserve"> – </w:t>
      </w:r>
      <w:r w:rsidR="009A041D">
        <w:rPr>
          <w:sz w:val="24"/>
        </w:rPr>
        <w:t>2</w:t>
      </w:r>
    </w:p>
    <w:p w:rsidR="00216C1E" w:rsidRDefault="00216C1E" w:rsidP="00216C1E">
      <w:pPr>
        <w:spacing w:after="0" w:line="240" w:lineRule="auto"/>
        <w:jc w:val="center"/>
        <w:rPr>
          <w:b/>
          <w:bCs/>
          <w:szCs w:val="24"/>
          <w:lang w:eastAsia="tr-TR"/>
        </w:rPr>
      </w:pPr>
    </w:p>
    <w:p w:rsidR="00216C1E" w:rsidRPr="00E71DBA" w:rsidRDefault="00216C1E" w:rsidP="00216C1E">
      <w:pPr>
        <w:spacing w:after="0" w:line="240" w:lineRule="auto"/>
        <w:jc w:val="center"/>
        <w:rPr>
          <w:b/>
          <w:bCs/>
          <w:szCs w:val="24"/>
          <w:lang w:eastAsia="tr-TR"/>
        </w:rPr>
      </w:pPr>
      <w:r>
        <w:rPr>
          <w:b/>
          <w:bCs/>
          <w:szCs w:val="24"/>
          <w:lang w:eastAsia="tr-TR"/>
        </w:rPr>
        <w:t xml:space="preserve"> </w:t>
      </w:r>
      <w:r w:rsidR="0057644F">
        <w:rPr>
          <w:b/>
          <w:bCs/>
          <w:szCs w:val="24"/>
          <w:lang w:eastAsia="tr-TR"/>
        </w:rPr>
        <w:t xml:space="preserve">2014 </w:t>
      </w:r>
      <w:r>
        <w:rPr>
          <w:b/>
          <w:bCs/>
          <w:szCs w:val="24"/>
          <w:lang w:eastAsia="tr-TR"/>
        </w:rPr>
        <w:t>GENÇ</w:t>
      </w:r>
      <w:r w:rsidRPr="00E71DBA">
        <w:rPr>
          <w:b/>
          <w:bCs/>
          <w:szCs w:val="24"/>
          <w:lang w:eastAsia="tr-TR"/>
        </w:rPr>
        <w:t xml:space="preserve"> KIZLAR TÜRKİYE ŞAMPİYONASI OYUNCU İSİM LİSTESİ</w:t>
      </w:r>
    </w:p>
    <w:p w:rsidR="00216C1E" w:rsidRDefault="00216C1E" w:rsidP="00216C1E">
      <w:pPr>
        <w:ind w:right="281"/>
        <w:rPr>
          <w:b/>
          <w:bCs/>
          <w:szCs w:val="24"/>
          <w:lang w:eastAsia="tr-TR"/>
        </w:rPr>
      </w:pPr>
    </w:p>
    <w:p w:rsidR="00216C1E" w:rsidRDefault="00216C1E" w:rsidP="00216C1E">
      <w:pPr>
        <w:pStyle w:val="AralkYok"/>
        <w:rPr>
          <w:lang w:eastAsia="tr-TR"/>
        </w:rPr>
      </w:pPr>
      <w:r>
        <w:rPr>
          <w:lang w:eastAsia="tr-TR"/>
        </w:rPr>
        <w:t>Kulüp</w:t>
      </w:r>
      <w:r w:rsidRPr="00E71DBA">
        <w:rPr>
          <w:lang w:eastAsia="tr-TR"/>
        </w:rPr>
        <w:t xml:space="preserve"> Adı : …………………………………………………………………………………………………………....</w:t>
      </w:r>
      <w:r>
        <w:rPr>
          <w:lang w:eastAsia="tr-TR"/>
        </w:rPr>
        <w:t>........</w:t>
      </w:r>
    </w:p>
    <w:p w:rsidR="00216C1E" w:rsidRPr="00E71DBA" w:rsidRDefault="00216C1E" w:rsidP="00216C1E">
      <w:pPr>
        <w:ind w:left="340" w:right="281"/>
        <w:rPr>
          <w:b/>
          <w:bCs/>
          <w:szCs w:val="24"/>
          <w:lang w:eastAsia="tr-TR"/>
        </w:rPr>
      </w:pPr>
    </w:p>
    <w:tbl>
      <w:tblPr>
        <w:tblW w:w="10262" w:type="dxa"/>
        <w:jc w:val="center"/>
        <w:tblInd w:w="25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08"/>
        <w:gridCol w:w="1835"/>
        <w:gridCol w:w="2835"/>
        <w:gridCol w:w="2981"/>
        <w:gridCol w:w="1603"/>
      </w:tblGrid>
      <w:tr w:rsidR="0003220E" w:rsidRPr="00E71DBA" w:rsidTr="0003220E">
        <w:trPr>
          <w:trHeight w:val="28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No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 xml:space="preserve">Lisans Numarası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>Adı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Soyadı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>Doğum Tarihi</w:t>
            </w:r>
          </w:p>
        </w:tc>
      </w:tr>
      <w:tr w:rsidR="0003220E" w:rsidRPr="00E71DBA" w:rsidTr="0003220E">
        <w:trPr>
          <w:trHeight w:val="283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</w:p>
        </w:tc>
      </w:tr>
      <w:tr w:rsidR="0003220E" w:rsidRPr="00E71DBA" w:rsidTr="0003220E">
        <w:trPr>
          <w:trHeight w:val="283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</w:p>
        </w:tc>
      </w:tr>
      <w:tr w:rsidR="0003220E" w:rsidRPr="00E71DBA" w:rsidTr="0003220E">
        <w:trPr>
          <w:trHeight w:val="283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</w:p>
        </w:tc>
      </w:tr>
      <w:tr w:rsidR="0003220E" w:rsidRPr="00E71DBA" w:rsidTr="0003220E">
        <w:trPr>
          <w:trHeight w:val="283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</w:p>
        </w:tc>
      </w:tr>
      <w:tr w:rsidR="0003220E" w:rsidRPr="00E71DBA" w:rsidTr="0003220E">
        <w:trPr>
          <w:trHeight w:val="283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</w:p>
        </w:tc>
      </w:tr>
      <w:tr w:rsidR="0003220E" w:rsidRPr="00E71DBA" w:rsidTr="0003220E">
        <w:trPr>
          <w:trHeight w:val="283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</w:p>
        </w:tc>
      </w:tr>
      <w:tr w:rsidR="0003220E" w:rsidRPr="00E71DBA" w:rsidTr="0003220E">
        <w:trPr>
          <w:trHeight w:val="283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</w:p>
        </w:tc>
      </w:tr>
      <w:tr w:rsidR="0003220E" w:rsidRPr="00E71DBA" w:rsidTr="0003220E">
        <w:trPr>
          <w:trHeight w:val="283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</w:p>
        </w:tc>
      </w:tr>
      <w:tr w:rsidR="0003220E" w:rsidRPr="00E71DBA" w:rsidTr="0003220E">
        <w:trPr>
          <w:trHeight w:val="283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</w:p>
        </w:tc>
      </w:tr>
      <w:tr w:rsidR="0003220E" w:rsidRPr="00E71DBA" w:rsidTr="0003220E">
        <w:trPr>
          <w:trHeight w:val="283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</w:p>
        </w:tc>
      </w:tr>
      <w:tr w:rsidR="0003220E" w:rsidRPr="00E71DBA" w:rsidTr="0003220E">
        <w:trPr>
          <w:trHeight w:val="283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</w:p>
        </w:tc>
      </w:tr>
      <w:tr w:rsidR="0003220E" w:rsidRPr="00E71DBA" w:rsidTr="0003220E">
        <w:trPr>
          <w:trHeight w:val="283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</w:p>
        </w:tc>
      </w:tr>
      <w:tr w:rsidR="0003220E" w:rsidRPr="00E71DBA" w:rsidTr="0003220E">
        <w:trPr>
          <w:trHeight w:val="283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</w:p>
        </w:tc>
      </w:tr>
      <w:tr w:rsidR="0003220E" w:rsidRPr="00E71DBA" w:rsidTr="0003220E">
        <w:trPr>
          <w:trHeight w:val="283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</w:p>
        </w:tc>
      </w:tr>
      <w:tr w:rsidR="0003220E" w:rsidRPr="00E71DBA" w:rsidTr="0003220E">
        <w:trPr>
          <w:trHeight w:val="283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</w:p>
        </w:tc>
      </w:tr>
      <w:tr w:rsidR="0003220E" w:rsidRPr="00E71DBA" w:rsidTr="0003220E">
        <w:trPr>
          <w:trHeight w:val="283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</w:p>
        </w:tc>
      </w:tr>
      <w:tr w:rsidR="0003220E" w:rsidRPr="00E71DBA" w:rsidTr="0003220E">
        <w:trPr>
          <w:trHeight w:val="283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</w:p>
        </w:tc>
      </w:tr>
      <w:tr w:rsidR="0003220E" w:rsidRPr="00E71DBA" w:rsidTr="0003220E">
        <w:trPr>
          <w:trHeight w:val="283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</w:p>
        </w:tc>
      </w:tr>
      <w:tr w:rsidR="0003220E" w:rsidRPr="00E71DBA" w:rsidTr="0003220E">
        <w:trPr>
          <w:trHeight w:val="283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</w:p>
        </w:tc>
      </w:tr>
      <w:tr w:rsidR="0003220E" w:rsidRPr="00E71DBA" w:rsidTr="0003220E">
        <w:trPr>
          <w:trHeight w:val="283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</w:p>
        </w:tc>
      </w:tr>
      <w:tr w:rsidR="0003220E" w:rsidRPr="00E71DBA" w:rsidTr="0003220E">
        <w:trPr>
          <w:trHeight w:val="283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</w:p>
        </w:tc>
      </w:tr>
      <w:tr w:rsidR="0003220E" w:rsidRPr="00E71DBA" w:rsidTr="0003220E">
        <w:trPr>
          <w:trHeight w:val="283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22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  <w:r w:rsidRPr="00E71DBA">
              <w:rPr>
                <w:lang w:eastAsia="tr-T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20E" w:rsidRPr="00E71DBA" w:rsidRDefault="0003220E" w:rsidP="009B6E17">
            <w:pPr>
              <w:pStyle w:val="AralkYok"/>
              <w:rPr>
                <w:lang w:eastAsia="tr-TR"/>
              </w:rPr>
            </w:pPr>
          </w:p>
        </w:tc>
      </w:tr>
    </w:tbl>
    <w:tbl>
      <w:tblPr>
        <w:tblpPr w:leftFromText="141" w:rightFromText="141" w:vertAnchor="text" w:horzAnchor="margin" w:tblpXSpec="center" w:tblpY="43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127"/>
        <w:gridCol w:w="1735"/>
        <w:gridCol w:w="1808"/>
        <w:gridCol w:w="1843"/>
      </w:tblGrid>
      <w:tr w:rsidR="00216C1E" w:rsidRPr="00332002" w:rsidTr="009B6E17">
        <w:tc>
          <w:tcPr>
            <w:tcW w:w="4503" w:type="dxa"/>
            <w:gridSpan w:val="2"/>
            <w:vAlign w:val="center"/>
          </w:tcPr>
          <w:p w:rsidR="00216C1E" w:rsidRPr="00332002" w:rsidRDefault="00216C1E" w:rsidP="009B6E17">
            <w:pPr>
              <w:pStyle w:val="AralkYok"/>
            </w:pPr>
            <w:r>
              <w:t>Kulüp</w:t>
            </w:r>
          </w:p>
        </w:tc>
        <w:tc>
          <w:tcPr>
            <w:tcW w:w="1735" w:type="dxa"/>
            <w:vAlign w:val="center"/>
          </w:tcPr>
          <w:p w:rsidR="00216C1E" w:rsidRPr="00332002" w:rsidRDefault="00216C1E" w:rsidP="009B6E17">
            <w:pPr>
              <w:pStyle w:val="AralkYok"/>
            </w:pPr>
            <w:r>
              <w:t>Telefon</w:t>
            </w:r>
          </w:p>
        </w:tc>
        <w:tc>
          <w:tcPr>
            <w:tcW w:w="1808" w:type="dxa"/>
            <w:vAlign w:val="center"/>
          </w:tcPr>
          <w:p w:rsidR="00216C1E" w:rsidRPr="00332002" w:rsidRDefault="00216C1E" w:rsidP="009B6E17">
            <w:pPr>
              <w:pStyle w:val="AralkYok"/>
            </w:pPr>
            <w:r>
              <w:t>Faks</w:t>
            </w:r>
          </w:p>
        </w:tc>
        <w:tc>
          <w:tcPr>
            <w:tcW w:w="1843" w:type="dxa"/>
            <w:vAlign w:val="center"/>
          </w:tcPr>
          <w:p w:rsidR="00216C1E" w:rsidRPr="00332002" w:rsidRDefault="00216C1E" w:rsidP="009B6E17">
            <w:pPr>
              <w:pStyle w:val="AralkYok"/>
            </w:pPr>
            <w:r>
              <w:t>E-mail</w:t>
            </w:r>
          </w:p>
        </w:tc>
      </w:tr>
      <w:tr w:rsidR="00216C1E" w:rsidRPr="00332002" w:rsidTr="009B6E17">
        <w:tc>
          <w:tcPr>
            <w:tcW w:w="4503" w:type="dxa"/>
            <w:gridSpan w:val="2"/>
            <w:vAlign w:val="center"/>
          </w:tcPr>
          <w:p w:rsidR="00216C1E" w:rsidRPr="00332002" w:rsidRDefault="00216C1E" w:rsidP="009B6E17">
            <w:pPr>
              <w:pStyle w:val="AralkYok"/>
            </w:pPr>
          </w:p>
        </w:tc>
        <w:tc>
          <w:tcPr>
            <w:tcW w:w="1735" w:type="dxa"/>
            <w:vAlign w:val="center"/>
          </w:tcPr>
          <w:p w:rsidR="00216C1E" w:rsidRPr="00332002" w:rsidRDefault="00216C1E" w:rsidP="009B6E17">
            <w:pPr>
              <w:pStyle w:val="AralkYok"/>
            </w:pPr>
          </w:p>
        </w:tc>
        <w:tc>
          <w:tcPr>
            <w:tcW w:w="1808" w:type="dxa"/>
            <w:vAlign w:val="center"/>
          </w:tcPr>
          <w:p w:rsidR="00216C1E" w:rsidRPr="00332002" w:rsidRDefault="00216C1E" w:rsidP="009B6E17">
            <w:pPr>
              <w:pStyle w:val="AralkYok"/>
            </w:pPr>
          </w:p>
        </w:tc>
        <w:tc>
          <w:tcPr>
            <w:tcW w:w="1843" w:type="dxa"/>
            <w:vAlign w:val="center"/>
          </w:tcPr>
          <w:p w:rsidR="00216C1E" w:rsidRPr="00332002" w:rsidRDefault="00216C1E" w:rsidP="009B6E17">
            <w:pPr>
              <w:pStyle w:val="AralkYok"/>
            </w:pPr>
          </w:p>
        </w:tc>
      </w:tr>
      <w:tr w:rsidR="00216C1E" w:rsidRPr="00332002" w:rsidTr="009B6E17">
        <w:trPr>
          <w:trHeight w:val="788"/>
        </w:trPr>
        <w:tc>
          <w:tcPr>
            <w:tcW w:w="2376" w:type="dxa"/>
            <w:vAlign w:val="center"/>
          </w:tcPr>
          <w:p w:rsidR="00216C1E" w:rsidRPr="00B81BFF" w:rsidRDefault="00216C1E" w:rsidP="009B6E17">
            <w:pPr>
              <w:pStyle w:val="AralkYok"/>
            </w:pPr>
            <w:r w:rsidRPr="00B81BFF">
              <w:t>Başkan</w:t>
            </w:r>
          </w:p>
          <w:p w:rsidR="00216C1E" w:rsidRPr="00B81BFF" w:rsidRDefault="00216C1E" w:rsidP="009B6E17">
            <w:pPr>
              <w:pStyle w:val="AralkYok"/>
            </w:pPr>
            <w:r w:rsidRPr="00B81BFF">
              <w:t>Adı Soyadı</w:t>
            </w:r>
          </w:p>
        </w:tc>
        <w:tc>
          <w:tcPr>
            <w:tcW w:w="2127" w:type="dxa"/>
            <w:vAlign w:val="center"/>
          </w:tcPr>
          <w:p w:rsidR="00216C1E" w:rsidRPr="00332002" w:rsidRDefault="00216C1E" w:rsidP="009B6E17">
            <w:pPr>
              <w:pStyle w:val="AralkYok"/>
            </w:pPr>
          </w:p>
        </w:tc>
        <w:tc>
          <w:tcPr>
            <w:tcW w:w="1735" w:type="dxa"/>
            <w:vAlign w:val="center"/>
          </w:tcPr>
          <w:p w:rsidR="00216C1E" w:rsidRPr="00332002" w:rsidRDefault="00216C1E" w:rsidP="009B6E17">
            <w:pPr>
              <w:pStyle w:val="AralkYok"/>
            </w:pPr>
          </w:p>
        </w:tc>
        <w:tc>
          <w:tcPr>
            <w:tcW w:w="1808" w:type="dxa"/>
            <w:vAlign w:val="center"/>
          </w:tcPr>
          <w:p w:rsidR="00216C1E" w:rsidRPr="00332002" w:rsidRDefault="00216C1E" w:rsidP="009B6E17">
            <w:pPr>
              <w:pStyle w:val="AralkYok"/>
            </w:pPr>
          </w:p>
        </w:tc>
        <w:tc>
          <w:tcPr>
            <w:tcW w:w="1843" w:type="dxa"/>
            <w:vAlign w:val="center"/>
          </w:tcPr>
          <w:p w:rsidR="00216C1E" w:rsidRPr="00332002" w:rsidRDefault="00216C1E" w:rsidP="009B6E17">
            <w:pPr>
              <w:pStyle w:val="AralkYok"/>
            </w:pPr>
          </w:p>
        </w:tc>
      </w:tr>
      <w:tr w:rsidR="00216C1E" w:rsidRPr="00332002" w:rsidTr="009B6E17">
        <w:tc>
          <w:tcPr>
            <w:tcW w:w="2376" w:type="dxa"/>
            <w:vAlign w:val="center"/>
          </w:tcPr>
          <w:p w:rsidR="00216C1E" w:rsidRPr="00B81BFF" w:rsidRDefault="00216C1E" w:rsidP="009B6E17">
            <w:pPr>
              <w:pStyle w:val="AralkYok"/>
            </w:pPr>
            <w:r w:rsidRPr="00B81BFF">
              <w:t>İdari Sorumlu</w:t>
            </w:r>
          </w:p>
          <w:p w:rsidR="00216C1E" w:rsidRPr="00B81BFF" w:rsidRDefault="00216C1E" w:rsidP="009B6E17">
            <w:pPr>
              <w:pStyle w:val="AralkYok"/>
            </w:pPr>
            <w:r w:rsidRPr="00B81BFF">
              <w:t>Adı Soyadı</w:t>
            </w:r>
          </w:p>
        </w:tc>
        <w:tc>
          <w:tcPr>
            <w:tcW w:w="2127" w:type="dxa"/>
            <w:vAlign w:val="center"/>
          </w:tcPr>
          <w:p w:rsidR="00216C1E" w:rsidRPr="00332002" w:rsidRDefault="00216C1E" w:rsidP="009B6E17">
            <w:pPr>
              <w:pStyle w:val="AralkYok"/>
            </w:pPr>
          </w:p>
        </w:tc>
        <w:tc>
          <w:tcPr>
            <w:tcW w:w="1735" w:type="dxa"/>
            <w:vAlign w:val="center"/>
          </w:tcPr>
          <w:p w:rsidR="00216C1E" w:rsidRPr="00332002" w:rsidRDefault="00216C1E" w:rsidP="009B6E17">
            <w:pPr>
              <w:pStyle w:val="AralkYok"/>
            </w:pPr>
          </w:p>
        </w:tc>
        <w:tc>
          <w:tcPr>
            <w:tcW w:w="1808" w:type="dxa"/>
            <w:vAlign w:val="center"/>
          </w:tcPr>
          <w:p w:rsidR="00216C1E" w:rsidRPr="00332002" w:rsidRDefault="00216C1E" w:rsidP="009B6E17">
            <w:pPr>
              <w:pStyle w:val="AralkYok"/>
            </w:pPr>
          </w:p>
        </w:tc>
        <w:tc>
          <w:tcPr>
            <w:tcW w:w="1843" w:type="dxa"/>
            <w:vAlign w:val="center"/>
          </w:tcPr>
          <w:p w:rsidR="00216C1E" w:rsidRPr="00332002" w:rsidRDefault="00216C1E" w:rsidP="009B6E17">
            <w:pPr>
              <w:pStyle w:val="AralkYok"/>
            </w:pPr>
          </w:p>
        </w:tc>
      </w:tr>
      <w:tr w:rsidR="00216C1E" w:rsidRPr="00332002" w:rsidTr="009B6E17">
        <w:tc>
          <w:tcPr>
            <w:tcW w:w="2376" w:type="dxa"/>
            <w:vAlign w:val="center"/>
          </w:tcPr>
          <w:p w:rsidR="00216C1E" w:rsidRPr="00B81BFF" w:rsidRDefault="00216C1E" w:rsidP="009B6E17">
            <w:pPr>
              <w:pStyle w:val="AralkYok"/>
            </w:pPr>
            <w:r w:rsidRPr="00B81BFF">
              <w:t xml:space="preserve">Teknik Sorumlu </w:t>
            </w:r>
          </w:p>
          <w:p w:rsidR="00216C1E" w:rsidRPr="00B81BFF" w:rsidRDefault="00216C1E" w:rsidP="009B6E17">
            <w:pPr>
              <w:pStyle w:val="AralkYok"/>
            </w:pPr>
            <w:r w:rsidRPr="00B81BFF">
              <w:t>Adı Soyadı</w:t>
            </w:r>
          </w:p>
        </w:tc>
        <w:tc>
          <w:tcPr>
            <w:tcW w:w="2127" w:type="dxa"/>
            <w:vAlign w:val="center"/>
          </w:tcPr>
          <w:p w:rsidR="00216C1E" w:rsidRPr="00332002" w:rsidRDefault="00216C1E" w:rsidP="009B6E17">
            <w:pPr>
              <w:pStyle w:val="AralkYok"/>
            </w:pPr>
          </w:p>
        </w:tc>
        <w:tc>
          <w:tcPr>
            <w:tcW w:w="1735" w:type="dxa"/>
            <w:vAlign w:val="center"/>
          </w:tcPr>
          <w:p w:rsidR="00216C1E" w:rsidRPr="00332002" w:rsidRDefault="00216C1E" w:rsidP="009B6E17">
            <w:pPr>
              <w:pStyle w:val="AralkYok"/>
            </w:pPr>
          </w:p>
        </w:tc>
        <w:tc>
          <w:tcPr>
            <w:tcW w:w="1808" w:type="dxa"/>
            <w:vAlign w:val="center"/>
          </w:tcPr>
          <w:p w:rsidR="00216C1E" w:rsidRPr="00332002" w:rsidRDefault="00216C1E" w:rsidP="009B6E17">
            <w:pPr>
              <w:pStyle w:val="AralkYok"/>
            </w:pPr>
          </w:p>
        </w:tc>
        <w:tc>
          <w:tcPr>
            <w:tcW w:w="1843" w:type="dxa"/>
            <w:vAlign w:val="center"/>
          </w:tcPr>
          <w:p w:rsidR="00216C1E" w:rsidRPr="00332002" w:rsidRDefault="00216C1E" w:rsidP="009B6E17">
            <w:pPr>
              <w:pStyle w:val="AralkYok"/>
            </w:pPr>
          </w:p>
        </w:tc>
      </w:tr>
    </w:tbl>
    <w:p w:rsidR="00216C1E" w:rsidRDefault="00216C1E" w:rsidP="00216C1E">
      <w:pPr>
        <w:ind w:left="340" w:right="281"/>
        <w:rPr>
          <w:szCs w:val="24"/>
          <w:lang w:eastAsia="tr-TR"/>
        </w:rPr>
      </w:pPr>
      <w:r w:rsidRPr="00E71DBA">
        <w:rPr>
          <w:szCs w:val="24"/>
          <w:lang w:eastAsia="tr-TR"/>
        </w:rPr>
        <w:tab/>
      </w:r>
      <w:r w:rsidRPr="00E71DBA">
        <w:rPr>
          <w:szCs w:val="24"/>
          <w:lang w:eastAsia="tr-TR"/>
        </w:rPr>
        <w:tab/>
      </w:r>
      <w:r w:rsidRPr="00E71DBA">
        <w:rPr>
          <w:szCs w:val="24"/>
          <w:lang w:eastAsia="tr-TR"/>
        </w:rPr>
        <w:tab/>
      </w:r>
      <w:r w:rsidRPr="00E71DBA">
        <w:rPr>
          <w:szCs w:val="24"/>
          <w:lang w:eastAsia="tr-TR"/>
        </w:rPr>
        <w:tab/>
      </w:r>
      <w:r>
        <w:rPr>
          <w:szCs w:val="24"/>
          <w:lang w:eastAsia="tr-TR"/>
        </w:rPr>
        <w:tab/>
      </w:r>
      <w:r>
        <w:rPr>
          <w:szCs w:val="24"/>
          <w:lang w:eastAsia="tr-TR"/>
        </w:rPr>
        <w:tab/>
      </w:r>
      <w:r>
        <w:rPr>
          <w:szCs w:val="24"/>
          <w:lang w:eastAsia="tr-TR"/>
        </w:rPr>
        <w:tab/>
      </w:r>
      <w:r>
        <w:rPr>
          <w:szCs w:val="24"/>
          <w:lang w:eastAsia="tr-TR"/>
        </w:rPr>
        <w:tab/>
      </w:r>
    </w:p>
    <w:p w:rsidR="00216C1E" w:rsidRDefault="00216C1E" w:rsidP="00216C1E">
      <w:pPr>
        <w:ind w:left="340" w:right="281"/>
        <w:rPr>
          <w:szCs w:val="24"/>
          <w:lang w:eastAsia="tr-TR"/>
        </w:rPr>
      </w:pPr>
      <w:r>
        <w:rPr>
          <w:szCs w:val="24"/>
          <w:lang w:eastAsia="tr-TR"/>
        </w:rPr>
        <w:tab/>
      </w:r>
      <w:r>
        <w:rPr>
          <w:szCs w:val="24"/>
          <w:lang w:eastAsia="tr-TR"/>
        </w:rPr>
        <w:tab/>
      </w:r>
      <w:r>
        <w:rPr>
          <w:szCs w:val="24"/>
          <w:lang w:eastAsia="tr-TR"/>
        </w:rPr>
        <w:tab/>
      </w:r>
      <w:r>
        <w:rPr>
          <w:szCs w:val="24"/>
          <w:lang w:eastAsia="tr-TR"/>
        </w:rPr>
        <w:tab/>
      </w:r>
      <w:r>
        <w:rPr>
          <w:szCs w:val="24"/>
          <w:lang w:eastAsia="tr-TR"/>
        </w:rPr>
        <w:tab/>
      </w:r>
      <w:r>
        <w:rPr>
          <w:szCs w:val="24"/>
          <w:lang w:eastAsia="tr-TR"/>
        </w:rPr>
        <w:tab/>
      </w:r>
      <w:r>
        <w:rPr>
          <w:szCs w:val="24"/>
          <w:lang w:eastAsia="tr-TR"/>
        </w:rPr>
        <w:tab/>
      </w:r>
      <w:r>
        <w:rPr>
          <w:szCs w:val="24"/>
          <w:lang w:eastAsia="tr-TR"/>
        </w:rPr>
        <w:tab/>
      </w:r>
      <w:r>
        <w:rPr>
          <w:szCs w:val="24"/>
          <w:lang w:eastAsia="tr-TR"/>
        </w:rPr>
        <w:tab/>
      </w:r>
    </w:p>
    <w:p w:rsidR="00A77F07" w:rsidRPr="00216C1E" w:rsidRDefault="00216C1E" w:rsidP="00216C1E">
      <w:pPr>
        <w:ind w:left="340" w:right="281"/>
        <w:rPr>
          <w:b/>
          <w:bCs/>
          <w:szCs w:val="24"/>
          <w:lang w:eastAsia="tr-TR"/>
        </w:rPr>
      </w:pPr>
      <w:r>
        <w:rPr>
          <w:szCs w:val="24"/>
          <w:lang w:eastAsia="tr-TR"/>
        </w:rPr>
        <w:tab/>
      </w:r>
      <w:r>
        <w:rPr>
          <w:szCs w:val="24"/>
          <w:lang w:eastAsia="tr-TR"/>
        </w:rPr>
        <w:tab/>
      </w:r>
      <w:r>
        <w:rPr>
          <w:szCs w:val="24"/>
          <w:lang w:eastAsia="tr-TR"/>
        </w:rPr>
        <w:tab/>
      </w:r>
      <w:r>
        <w:rPr>
          <w:szCs w:val="24"/>
          <w:lang w:eastAsia="tr-TR"/>
        </w:rPr>
        <w:tab/>
      </w:r>
      <w:r>
        <w:rPr>
          <w:szCs w:val="24"/>
          <w:lang w:eastAsia="tr-TR"/>
        </w:rPr>
        <w:tab/>
      </w:r>
      <w:r>
        <w:rPr>
          <w:szCs w:val="24"/>
          <w:lang w:eastAsia="tr-TR"/>
        </w:rPr>
        <w:tab/>
      </w:r>
      <w:r>
        <w:rPr>
          <w:szCs w:val="24"/>
          <w:lang w:eastAsia="tr-TR"/>
        </w:rPr>
        <w:tab/>
      </w:r>
      <w:r>
        <w:rPr>
          <w:szCs w:val="24"/>
          <w:lang w:eastAsia="tr-TR"/>
        </w:rPr>
        <w:tab/>
      </w:r>
      <w:r>
        <w:rPr>
          <w:szCs w:val="24"/>
          <w:lang w:eastAsia="tr-TR"/>
        </w:rPr>
        <w:tab/>
      </w:r>
      <w:r w:rsidRPr="00E71DBA">
        <w:rPr>
          <w:b/>
          <w:szCs w:val="24"/>
          <w:lang w:eastAsia="tr-TR"/>
        </w:rPr>
        <w:t>İmza- Mühür - Tarih</w:t>
      </w:r>
    </w:p>
    <w:sectPr w:rsidR="00A77F07" w:rsidRPr="00216C1E" w:rsidSect="006F2132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50EC9"/>
    <w:rsid w:val="0002037A"/>
    <w:rsid w:val="00026C0C"/>
    <w:rsid w:val="0003220E"/>
    <w:rsid w:val="0003587C"/>
    <w:rsid w:val="000640AB"/>
    <w:rsid w:val="0007619E"/>
    <w:rsid w:val="000E7E91"/>
    <w:rsid w:val="000F412A"/>
    <w:rsid w:val="001408C9"/>
    <w:rsid w:val="001425F5"/>
    <w:rsid w:val="00155BE9"/>
    <w:rsid w:val="001674E6"/>
    <w:rsid w:val="00172CF5"/>
    <w:rsid w:val="001857F7"/>
    <w:rsid w:val="001C31EF"/>
    <w:rsid w:val="001D4EBF"/>
    <w:rsid w:val="00211853"/>
    <w:rsid w:val="00216C1E"/>
    <w:rsid w:val="00220BA6"/>
    <w:rsid w:val="0022666A"/>
    <w:rsid w:val="00240F62"/>
    <w:rsid w:val="00243295"/>
    <w:rsid w:val="00250F81"/>
    <w:rsid w:val="00263C79"/>
    <w:rsid w:val="00272AA3"/>
    <w:rsid w:val="002871C3"/>
    <w:rsid w:val="002B2233"/>
    <w:rsid w:val="002E08E3"/>
    <w:rsid w:val="002F3A81"/>
    <w:rsid w:val="00326E87"/>
    <w:rsid w:val="00330B62"/>
    <w:rsid w:val="00333503"/>
    <w:rsid w:val="00337839"/>
    <w:rsid w:val="00364026"/>
    <w:rsid w:val="00394465"/>
    <w:rsid w:val="003D44CF"/>
    <w:rsid w:val="003E0F29"/>
    <w:rsid w:val="003E4329"/>
    <w:rsid w:val="003F6E25"/>
    <w:rsid w:val="00410142"/>
    <w:rsid w:val="00444AE0"/>
    <w:rsid w:val="0045054F"/>
    <w:rsid w:val="00452E6A"/>
    <w:rsid w:val="00495473"/>
    <w:rsid w:val="004970EA"/>
    <w:rsid w:val="004A1AC2"/>
    <w:rsid w:val="004B5A59"/>
    <w:rsid w:val="004C0250"/>
    <w:rsid w:val="004C6541"/>
    <w:rsid w:val="004E2A51"/>
    <w:rsid w:val="004E64BF"/>
    <w:rsid w:val="004F1AE8"/>
    <w:rsid w:val="00502820"/>
    <w:rsid w:val="00503518"/>
    <w:rsid w:val="005258DC"/>
    <w:rsid w:val="0053727A"/>
    <w:rsid w:val="0057644F"/>
    <w:rsid w:val="00592591"/>
    <w:rsid w:val="005C061F"/>
    <w:rsid w:val="00605265"/>
    <w:rsid w:val="006174FC"/>
    <w:rsid w:val="006200F5"/>
    <w:rsid w:val="00661F5C"/>
    <w:rsid w:val="00681670"/>
    <w:rsid w:val="006B4D26"/>
    <w:rsid w:val="006F2132"/>
    <w:rsid w:val="00702004"/>
    <w:rsid w:val="007279D6"/>
    <w:rsid w:val="007319DF"/>
    <w:rsid w:val="00753AC2"/>
    <w:rsid w:val="00770A3F"/>
    <w:rsid w:val="00786182"/>
    <w:rsid w:val="0079498F"/>
    <w:rsid w:val="00796ABE"/>
    <w:rsid w:val="007B2135"/>
    <w:rsid w:val="007D6163"/>
    <w:rsid w:val="007D7760"/>
    <w:rsid w:val="008625BC"/>
    <w:rsid w:val="00862C9E"/>
    <w:rsid w:val="00864E47"/>
    <w:rsid w:val="00892F14"/>
    <w:rsid w:val="008A7453"/>
    <w:rsid w:val="008A7B02"/>
    <w:rsid w:val="008C13D6"/>
    <w:rsid w:val="008C3554"/>
    <w:rsid w:val="008F15B9"/>
    <w:rsid w:val="009100C3"/>
    <w:rsid w:val="0092495C"/>
    <w:rsid w:val="0093678D"/>
    <w:rsid w:val="00980333"/>
    <w:rsid w:val="0099630E"/>
    <w:rsid w:val="009A041D"/>
    <w:rsid w:val="009B0BFA"/>
    <w:rsid w:val="00A32C88"/>
    <w:rsid w:val="00A3301F"/>
    <w:rsid w:val="00A369EB"/>
    <w:rsid w:val="00A426EA"/>
    <w:rsid w:val="00A50EC9"/>
    <w:rsid w:val="00A77F07"/>
    <w:rsid w:val="00AA7125"/>
    <w:rsid w:val="00AF1E4A"/>
    <w:rsid w:val="00B03240"/>
    <w:rsid w:val="00B05CAC"/>
    <w:rsid w:val="00B3063F"/>
    <w:rsid w:val="00B421B4"/>
    <w:rsid w:val="00B54693"/>
    <w:rsid w:val="00B818A4"/>
    <w:rsid w:val="00B93897"/>
    <w:rsid w:val="00BB0FDD"/>
    <w:rsid w:val="00BE2407"/>
    <w:rsid w:val="00BE5F5A"/>
    <w:rsid w:val="00BF7B5C"/>
    <w:rsid w:val="00C17C8D"/>
    <w:rsid w:val="00C35609"/>
    <w:rsid w:val="00C4403D"/>
    <w:rsid w:val="00C81B88"/>
    <w:rsid w:val="00CC75C4"/>
    <w:rsid w:val="00CF4232"/>
    <w:rsid w:val="00D75DB4"/>
    <w:rsid w:val="00DC2AF6"/>
    <w:rsid w:val="00DC7035"/>
    <w:rsid w:val="00DD2FE8"/>
    <w:rsid w:val="00DF6FF3"/>
    <w:rsid w:val="00E055E6"/>
    <w:rsid w:val="00E13C21"/>
    <w:rsid w:val="00E24A86"/>
    <w:rsid w:val="00E4692F"/>
    <w:rsid w:val="00E52184"/>
    <w:rsid w:val="00E72595"/>
    <w:rsid w:val="00EA4BFA"/>
    <w:rsid w:val="00EA5CA3"/>
    <w:rsid w:val="00EB3A33"/>
    <w:rsid w:val="00EE75B9"/>
    <w:rsid w:val="00F519B3"/>
    <w:rsid w:val="00FC3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8E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C2AF6"/>
    <w:rPr>
      <w:color w:val="0000FF"/>
      <w:u w:val="single"/>
    </w:rPr>
  </w:style>
  <w:style w:type="paragraph" w:styleId="AralkYok">
    <w:name w:val="No Spacing"/>
    <w:uiPriority w:val="1"/>
    <w:qFormat/>
    <w:rsid w:val="00216C1E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407"/>
    <w:rPr>
      <w:rFonts w:ascii="Tahoma" w:hAnsi="Tahoma" w:cs="Tahoma"/>
      <w:sz w:val="16"/>
      <w:szCs w:val="16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6F213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F213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F2132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3063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306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lizonuk@tff.org" TargetMode="External"/><Relationship Id="rId4" Type="http://schemas.openxmlformats.org/officeDocument/2006/relationships/hyperlink" Target="mailto:kafuggl@tff.or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Links>
    <vt:vector size="18" baseType="variant">
      <vt:variant>
        <vt:i4>8257603</vt:i4>
      </vt:variant>
      <vt:variant>
        <vt:i4>6</vt:i4>
      </vt:variant>
      <vt:variant>
        <vt:i4>0</vt:i4>
      </vt:variant>
      <vt:variant>
        <vt:i4>5</vt:i4>
      </vt:variant>
      <vt:variant>
        <vt:lpwstr>mailto:kafuggl@tff.org</vt:lpwstr>
      </vt:variant>
      <vt:variant>
        <vt:lpwstr/>
      </vt:variant>
      <vt:variant>
        <vt:i4>8257603</vt:i4>
      </vt:variant>
      <vt:variant>
        <vt:i4>3</vt:i4>
      </vt:variant>
      <vt:variant>
        <vt:i4>0</vt:i4>
      </vt:variant>
      <vt:variant>
        <vt:i4>5</vt:i4>
      </vt:variant>
      <vt:variant>
        <vt:lpwstr>mailto:kafuggl@tff.org</vt:lpwstr>
      </vt:variant>
      <vt:variant>
        <vt:lpwstr/>
      </vt:variant>
      <vt:variant>
        <vt:i4>3211370</vt:i4>
      </vt:variant>
      <vt:variant>
        <vt:i4>0</vt:i4>
      </vt:variant>
      <vt:variant>
        <vt:i4>0</vt:i4>
      </vt:variant>
      <vt:variant>
        <vt:i4>5</vt:i4>
      </vt:variant>
      <vt:variant>
        <vt:lpwstr>http://www.tff.org/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erdenor</dc:creator>
  <cp:lastModifiedBy>cemabanazir</cp:lastModifiedBy>
  <cp:revision>10</cp:revision>
  <dcterms:created xsi:type="dcterms:W3CDTF">2014-04-04T06:44:00Z</dcterms:created>
  <dcterms:modified xsi:type="dcterms:W3CDTF">2014-05-20T07:43:00Z</dcterms:modified>
</cp:coreProperties>
</file>